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DFBE2" w14:textId="77777777" w:rsidR="00161F91" w:rsidRDefault="00000000">
      <w:pPr>
        <w:pStyle w:val="CaseTitle"/>
      </w:pPr>
      <w:r>
        <w:t>SUMMIT RIDGE ASSET MANAGEMENT</w:t>
      </w:r>
    </w:p>
    <w:p w14:paraId="02550AE9" w14:textId="77777777" w:rsidR="00161F91" w:rsidRDefault="00000000">
      <w:pPr>
        <w:pStyle w:val="CaseSubtitle"/>
      </w:pPr>
      <w:r>
        <w:t>The Monday Morning Cash Decision</w:t>
      </w:r>
    </w:p>
    <w:p w14:paraId="13903F39" w14:textId="77777777" w:rsidR="00161F91" w:rsidRDefault="00000000">
      <w:pPr>
        <w:pStyle w:val="CaseDeck"/>
      </w:pPr>
      <w:r>
        <w:t>A mutual fund case on investor flows, liquidity, portfolio performance, and trading under pressure</w:t>
      </w:r>
    </w:p>
    <w:p w14:paraId="1FD6387D" w14:textId="77777777" w:rsidR="00161F91" w:rsidRDefault="00000000">
      <w:pPr>
        <w:pStyle w:val="CaseSpacer"/>
      </w:pPr>
      <w:r>
        <w:br/>
      </w:r>
    </w:p>
    <w:p w14:paraId="7841E887" w14:textId="77777777" w:rsidR="00161F91" w:rsidRDefault="00000000">
      <w:pPr>
        <w:pStyle w:val="CaseSpacer"/>
      </w:pPr>
      <w:r>
        <w:br/>
      </w:r>
    </w:p>
    <w:p w14:paraId="13826A13" w14:textId="77777777" w:rsidR="00161F91" w:rsidRDefault="00000000">
      <w:pPr>
        <w:pStyle w:val="CaseDisclaimer"/>
      </w:pPr>
      <w:r>
        <w:t>This case is fictional and intended for instructional discussion. Names, events, funds, and internal figures are invented, although the industry setting is motivated by public data.</w:t>
      </w:r>
    </w:p>
    <w:p w14:paraId="0D2C0517" w14:textId="77777777" w:rsidR="00161F91" w:rsidRDefault="00161F91">
      <w:pPr>
        <w:pStyle w:val="CaseSpacer"/>
      </w:pPr>
    </w:p>
    <w:p w14:paraId="6CCC00F2" w14:textId="77777777" w:rsidR="00161F91" w:rsidRDefault="00000000">
      <w:pPr>
        <w:pStyle w:val="Heading1"/>
      </w:pPr>
      <w:r>
        <w:t>A Weekend of Bad News</w:t>
      </w:r>
    </w:p>
    <w:p w14:paraId="694D2997" w14:textId="77777777" w:rsidR="00161F91" w:rsidRDefault="00000000">
      <w:r>
        <w:t>At 7:05 a.m. on Monday, October 12, 2026, Elena Marquez, chief investment officer of Summit Ridge Asset Management, opened a message from the firm’s transfer agent. Investors in the Summit Ridge Select Equity Fund had submitted an estimated $318 million in redemption requests since Friday afternoon. Most came from three institutional accounts. Retail orders were still being processed and could add another $40 million to $90 million before the fund’s afternoon pricing deadline.</w:t>
      </w:r>
    </w:p>
    <w:p w14:paraId="5041726D" w14:textId="77777777" w:rsidR="00161F91" w:rsidRDefault="00000000">
      <w:r>
        <w:t>The requests arrived after a difficult weekend. A major technology company had warned that quarterly revenue would miss expectations. Overseas markets had fallen sharply, Treasury yields had moved higher, and index futures indicated that U.S. equities could open down more than 2 percent. Several of the fund’s largest holdings were likely to be among the most heavily traded securities at the opening bell.</w:t>
      </w:r>
    </w:p>
    <w:p w14:paraId="79CFA100" w14:textId="77777777" w:rsidR="00161F91" w:rsidRDefault="00000000">
      <w:r>
        <w:t>The fund held $246 million in cash and Treasury bills, equal to 2.9 percent of net assets. Marquez could satisfy much of the known redemption demand without selling stocks, but doing so would leave little liquidity for additional withdrawals. She could raise more cash immediately, yet selling into a falling market could lock in unfavorable prices and alter the portfolio. Holding a larger permanent cash reserve would reduce this risk, but it could also cause the fund to trail its benchmark during rising markets.</w:t>
      </w:r>
    </w:p>
    <w:tbl>
      <w:tblPr>
        <w:tblStyle w:val="TableGrid"/>
        <w:tblW w:w="0" w:type="auto"/>
        <w:jc w:val="center"/>
        <w:tblLook w:val="04A0" w:firstRow="1" w:lastRow="0" w:firstColumn="1" w:lastColumn="0" w:noHBand="0" w:noVBand="1"/>
      </w:tblPr>
      <w:tblGrid>
        <w:gridCol w:w="10272"/>
      </w:tblGrid>
      <w:tr w:rsidR="00161F91" w14:paraId="6A737CD7" w14:textId="77777777">
        <w:trPr>
          <w:jc w:val="center"/>
        </w:trPr>
        <w:tc>
          <w:tcPr>
            <w:tcW w:w="10282" w:type="dxa"/>
            <w:shd w:val="clear" w:color="auto" w:fill="D9EAF7"/>
            <w:tcMar>
              <w:top w:w="120" w:type="dxa"/>
              <w:left w:w="140" w:type="dxa"/>
              <w:bottom w:w="120" w:type="dxa"/>
              <w:right w:w="140" w:type="dxa"/>
            </w:tcMar>
          </w:tcPr>
          <w:p w14:paraId="2D60824D" w14:textId="77777777" w:rsidR="00161F91" w:rsidRDefault="00000000">
            <w:pPr>
              <w:pStyle w:val="CaseCallout"/>
            </w:pPr>
            <w:r>
              <w:t>Summit Ridge did not need to decide whether cash was useful. It had to decide how much liquidity was enough, when to raise it, and which investors should bear the cost when flows forced the portfolio to trade.</w:t>
            </w:r>
          </w:p>
        </w:tc>
      </w:tr>
    </w:tbl>
    <w:p w14:paraId="6B893F23" w14:textId="77777777" w:rsidR="00161F91" w:rsidRDefault="00161F91">
      <w:pPr>
        <w:pStyle w:val="CaseSpacer"/>
      </w:pPr>
    </w:p>
    <w:p w14:paraId="0B48054C" w14:textId="77777777" w:rsidR="00161F91" w:rsidRDefault="00000000">
      <w:pPr>
        <w:pStyle w:val="Heading1"/>
      </w:pPr>
      <w:r>
        <w:t>Summit Ridge and the Select Equity Fund</w:t>
      </w:r>
    </w:p>
    <w:p w14:paraId="64FFF785" w14:textId="77777777" w:rsidR="00161F91" w:rsidRDefault="00000000">
      <w:r>
        <w:t>Summit Ridge was a privately held investment manager with $41 billion under management across mutual funds, separately managed accounts, and retirement products. The Select Equity Fund was its flagship strategy, holding a concentrated portfolio of large and mid-sized U.S. companies. It had produced strong long-term results, but recent performance had been uneven as investors shifted between growth stocks, defensive sectors, bonds, and money market funds.</w:t>
      </w:r>
    </w:p>
    <w:p w14:paraId="4AC78B06" w14:textId="77777777" w:rsidR="00161F91" w:rsidRDefault="00000000">
      <w:r>
        <w:t>The U.S. mutual fund industry was enormous. Long-term mutual funds held approximately $25.3 trillion in assets in May 2026, including about $17.8 trillion in equity funds and $5.7 trillion in bond funds. The size of the industry did not eliminate flow volatility. For the week ended July 15, 2026, long-term mutual funds experienced estimated net outflows of $15.43 billion even as exchange-traded funds reported net issuance. Money market fund assets had surpassed $7 trillion in March 2025 as investors sought liquidity and attractive short-term yields.</w:t>
      </w:r>
    </w:p>
    <w:p w14:paraId="642D399F" w14:textId="77777777" w:rsidR="00161F91" w:rsidRDefault="00000000">
      <w:r>
        <w:t xml:space="preserve">Open-end mutual funds were required to stand ready to redeem shares at net asset value. Summit Ridge therefore had to convert part of the portfolio into cash when withdrawals exceeded new purchases. </w:t>
      </w:r>
      <w:r>
        <w:lastRenderedPageBreak/>
        <w:t>Securities and Exchange Commission liquidity rules also required funds to assess how quickly holdings could be converted to cash and, where applicable, maintain a minimum level of highly liquid investments.</w:t>
      </w:r>
    </w:p>
    <w:p w14:paraId="36087DCD" w14:textId="77777777" w:rsidR="00161F91" w:rsidRDefault="00000000">
      <w:pPr>
        <w:pStyle w:val="Heading2"/>
      </w:pPr>
      <w:r>
        <w:t>Exhibit 1. Select Equity Fund Profile</w:t>
      </w:r>
    </w:p>
    <w:tbl>
      <w:tblPr>
        <w:tblStyle w:val="TableGrid"/>
        <w:tblW w:w="0" w:type="auto"/>
        <w:jc w:val="center"/>
        <w:tblLook w:val="04A0" w:firstRow="1" w:lastRow="0" w:firstColumn="1" w:lastColumn="0" w:noHBand="0" w:noVBand="1"/>
      </w:tblPr>
      <w:tblGrid>
        <w:gridCol w:w="4464"/>
        <w:gridCol w:w="2448"/>
        <w:gridCol w:w="2448"/>
      </w:tblGrid>
      <w:tr w:rsidR="00161F91" w14:paraId="132A275F" w14:textId="77777777">
        <w:trPr>
          <w:jc w:val="center"/>
        </w:trPr>
        <w:tc>
          <w:tcPr>
            <w:tcW w:w="4464" w:type="dxa"/>
            <w:shd w:val="clear" w:color="auto" w:fill="17365D"/>
            <w:tcMar>
              <w:top w:w="70" w:type="dxa"/>
              <w:left w:w="90" w:type="dxa"/>
              <w:bottom w:w="70" w:type="dxa"/>
              <w:right w:w="90" w:type="dxa"/>
            </w:tcMar>
            <w:vAlign w:val="center"/>
          </w:tcPr>
          <w:p w14:paraId="7ECEF0AB" w14:textId="77777777" w:rsidR="00161F91" w:rsidRDefault="00000000">
            <w:pPr>
              <w:pStyle w:val="ExhibitTableHeader"/>
              <w:jc w:val="center"/>
            </w:pPr>
            <w:r>
              <w:t>Measure</w:t>
            </w:r>
          </w:p>
        </w:tc>
        <w:tc>
          <w:tcPr>
            <w:tcW w:w="2448" w:type="dxa"/>
            <w:shd w:val="clear" w:color="auto" w:fill="17365D"/>
            <w:tcMar>
              <w:top w:w="70" w:type="dxa"/>
              <w:left w:w="90" w:type="dxa"/>
              <w:bottom w:w="70" w:type="dxa"/>
              <w:right w:w="90" w:type="dxa"/>
            </w:tcMar>
            <w:vAlign w:val="center"/>
          </w:tcPr>
          <w:p w14:paraId="63F3D019" w14:textId="77777777" w:rsidR="00161F91" w:rsidRDefault="00000000">
            <w:pPr>
              <w:pStyle w:val="ExhibitTableHeader"/>
              <w:jc w:val="center"/>
            </w:pPr>
            <w:r>
              <w:t>Current value</w:t>
            </w:r>
          </w:p>
        </w:tc>
        <w:tc>
          <w:tcPr>
            <w:tcW w:w="2448" w:type="dxa"/>
            <w:shd w:val="clear" w:color="auto" w:fill="17365D"/>
            <w:tcMar>
              <w:top w:w="70" w:type="dxa"/>
              <w:left w:w="90" w:type="dxa"/>
              <w:bottom w:w="70" w:type="dxa"/>
              <w:right w:w="90" w:type="dxa"/>
            </w:tcMar>
            <w:vAlign w:val="center"/>
          </w:tcPr>
          <w:p w14:paraId="1B833237" w14:textId="77777777" w:rsidR="00161F91" w:rsidRDefault="00000000">
            <w:pPr>
              <w:pStyle w:val="ExhibitTableHeader"/>
              <w:jc w:val="center"/>
            </w:pPr>
            <w:r>
              <w:t>One year earlier</w:t>
            </w:r>
          </w:p>
        </w:tc>
      </w:tr>
      <w:tr w:rsidR="00161F91" w14:paraId="75C68FE2" w14:textId="77777777">
        <w:trPr>
          <w:jc w:val="center"/>
        </w:trPr>
        <w:tc>
          <w:tcPr>
            <w:tcW w:w="4464" w:type="dxa"/>
            <w:tcMar>
              <w:top w:w="70" w:type="dxa"/>
              <w:left w:w="90" w:type="dxa"/>
              <w:bottom w:w="70" w:type="dxa"/>
              <w:right w:w="90" w:type="dxa"/>
            </w:tcMar>
            <w:vAlign w:val="center"/>
          </w:tcPr>
          <w:p w14:paraId="5335349D" w14:textId="77777777" w:rsidR="00161F91" w:rsidRDefault="00000000">
            <w:pPr>
              <w:pStyle w:val="ExhibitTableBody"/>
            </w:pPr>
            <w:r>
              <w:t>Net assets</w:t>
            </w:r>
          </w:p>
        </w:tc>
        <w:tc>
          <w:tcPr>
            <w:tcW w:w="2448" w:type="dxa"/>
            <w:tcMar>
              <w:top w:w="70" w:type="dxa"/>
              <w:left w:w="90" w:type="dxa"/>
              <w:bottom w:w="70" w:type="dxa"/>
              <w:right w:w="90" w:type="dxa"/>
            </w:tcMar>
            <w:vAlign w:val="center"/>
          </w:tcPr>
          <w:p w14:paraId="3B30415A" w14:textId="77777777" w:rsidR="00161F91" w:rsidRDefault="00000000">
            <w:pPr>
              <w:pStyle w:val="ExhibitTableBody"/>
              <w:jc w:val="center"/>
            </w:pPr>
            <w:r>
              <w:t>$8.48 billion</w:t>
            </w:r>
          </w:p>
        </w:tc>
        <w:tc>
          <w:tcPr>
            <w:tcW w:w="2448" w:type="dxa"/>
            <w:tcMar>
              <w:top w:w="70" w:type="dxa"/>
              <w:left w:w="90" w:type="dxa"/>
              <w:bottom w:w="70" w:type="dxa"/>
              <w:right w:w="90" w:type="dxa"/>
            </w:tcMar>
            <w:vAlign w:val="center"/>
          </w:tcPr>
          <w:p w14:paraId="4547FD20" w14:textId="77777777" w:rsidR="00161F91" w:rsidRDefault="00000000">
            <w:pPr>
              <w:pStyle w:val="ExhibitTableBody"/>
              <w:jc w:val="center"/>
            </w:pPr>
            <w:r>
              <w:t>$7.92 billion</w:t>
            </w:r>
          </w:p>
        </w:tc>
      </w:tr>
      <w:tr w:rsidR="00161F91" w14:paraId="4956E4C0" w14:textId="77777777">
        <w:trPr>
          <w:jc w:val="center"/>
        </w:trPr>
        <w:tc>
          <w:tcPr>
            <w:tcW w:w="4464" w:type="dxa"/>
            <w:shd w:val="clear" w:color="auto" w:fill="EEF3F8"/>
            <w:tcMar>
              <w:top w:w="70" w:type="dxa"/>
              <w:left w:w="90" w:type="dxa"/>
              <w:bottom w:w="70" w:type="dxa"/>
              <w:right w:w="90" w:type="dxa"/>
            </w:tcMar>
            <w:vAlign w:val="center"/>
          </w:tcPr>
          <w:p w14:paraId="5D8ADA72" w14:textId="77777777" w:rsidR="00161F91" w:rsidRDefault="00000000">
            <w:pPr>
              <w:pStyle w:val="ExhibitTableBody"/>
            </w:pPr>
            <w:r>
              <w:t>Number of portfolio holdings</w:t>
            </w:r>
          </w:p>
        </w:tc>
        <w:tc>
          <w:tcPr>
            <w:tcW w:w="2448" w:type="dxa"/>
            <w:shd w:val="clear" w:color="auto" w:fill="EEF3F8"/>
            <w:tcMar>
              <w:top w:w="70" w:type="dxa"/>
              <w:left w:w="90" w:type="dxa"/>
              <w:bottom w:w="70" w:type="dxa"/>
              <w:right w:w="90" w:type="dxa"/>
            </w:tcMar>
            <w:vAlign w:val="center"/>
          </w:tcPr>
          <w:p w14:paraId="32EB1F4E" w14:textId="77777777" w:rsidR="00161F91" w:rsidRDefault="00000000">
            <w:pPr>
              <w:pStyle w:val="ExhibitTableBody"/>
              <w:jc w:val="center"/>
            </w:pPr>
            <w:r>
              <w:t>64</w:t>
            </w:r>
          </w:p>
        </w:tc>
        <w:tc>
          <w:tcPr>
            <w:tcW w:w="2448" w:type="dxa"/>
            <w:shd w:val="clear" w:color="auto" w:fill="EEF3F8"/>
            <w:tcMar>
              <w:top w:w="70" w:type="dxa"/>
              <w:left w:w="90" w:type="dxa"/>
              <w:bottom w:w="70" w:type="dxa"/>
              <w:right w:w="90" w:type="dxa"/>
            </w:tcMar>
            <w:vAlign w:val="center"/>
          </w:tcPr>
          <w:p w14:paraId="011CCFA7" w14:textId="77777777" w:rsidR="00161F91" w:rsidRDefault="00000000">
            <w:pPr>
              <w:pStyle w:val="ExhibitTableBody"/>
              <w:jc w:val="center"/>
            </w:pPr>
            <w:r>
              <w:t>61</w:t>
            </w:r>
          </w:p>
        </w:tc>
      </w:tr>
      <w:tr w:rsidR="00161F91" w14:paraId="2A8CDCDA" w14:textId="77777777">
        <w:trPr>
          <w:jc w:val="center"/>
        </w:trPr>
        <w:tc>
          <w:tcPr>
            <w:tcW w:w="4464" w:type="dxa"/>
            <w:tcMar>
              <w:top w:w="70" w:type="dxa"/>
              <w:left w:w="90" w:type="dxa"/>
              <w:bottom w:w="70" w:type="dxa"/>
              <w:right w:w="90" w:type="dxa"/>
            </w:tcMar>
            <w:vAlign w:val="center"/>
          </w:tcPr>
          <w:p w14:paraId="2592849A" w14:textId="77777777" w:rsidR="00161F91" w:rsidRDefault="00000000">
            <w:pPr>
              <w:pStyle w:val="ExhibitTableBody"/>
            </w:pPr>
            <w:r>
              <w:t>Cash and Treasury bills</w:t>
            </w:r>
          </w:p>
        </w:tc>
        <w:tc>
          <w:tcPr>
            <w:tcW w:w="2448" w:type="dxa"/>
            <w:tcMar>
              <w:top w:w="70" w:type="dxa"/>
              <w:left w:w="90" w:type="dxa"/>
              <w:bottom w:w="70" w:type="dxa"/>
              <w:right w:w="90" w:type="dxa"/>
            </w:tcMar>
            <w:vAlign w:val="center"/>
          </w:tcPr>
          <w:p w14:paraId="00F5C7A3" w14:textId="77777777" w:rsidR="00161F91" w:rsidRDefault="00000000">
            <w:pPr>
              <w:pStyle w:val="ExhibitTableBody"/>
              <w:jc w:val="center"/>
            </w:pPr>
            <w:r>
              <w:t>$246 million</w:t>
            </w:r>
          </w:p>
        </w:tc>
        <w:tc>
          <w:tcPr>
            <w:tcW w:w="2448" w:type="dxa"/>
            <w:tcMar>
              <w:top w:w="70" w:type="dxa"/>
              <w:left w:w="90" w:type="dxa"/>
              <w:bottom w:w="70" w:type="dxa"/>
              <w:right w:w="90" w:type="dxa"/>
            </w:tcMar>
            <w:vAlign w:val="center"/>
          </w:tcPr>
          <w:p w14:paraId="6FF87AD3" w14:textId="77777777" w:rsidR="00161F91" w:rsidRDefault="00000000">
            <w:pPr>
              <w:pStyle w:val="ExhibitTableBody"/>
              <w:jc w:val="center"/>
            </w:pPr>
            <w:r>
              <w:t>$332 million</w:t>
            </w:r>
          </w:p>
        </w:tc>
      </w:tr>
      <w:tr w:rsidR="00161F91" w14:paraId="3554AE32" w14:textId="77777777">
        <w:trPr>
          <w:jc w:val="center"/>
        </w:trPr>
        <w:tc>
          <w:tcPr>
            <w:tcW w:w="4464" w:type="dxa"/>
            <w:shd w:val="clear" w:color="auto" w:fill="EEF3F8"/>
            <w:tcMar>
              <w:top w:w="70" w:type="dxa"/>
              <w:left w:w="90" w:type="dxa"/>
              <w:bottom w:w="70" w:type="dxa"/>
              <w:right w:w="90" w:type="dxa"/>
            </w:tcMar>
            <w:vAlign w:val="center"/>
          </w:tcPr>
          <w:p w14:paraId="7901614C" w14:textId="77777777" w:rsidR="00161F91" w:rsidRDefault="00000000">
            <w:pPr>
              <w:pStyle w:val="ExhibitTableBody"/>
            </w:pPr>
            <w:r>
              <w:t>Cash as % of net assets</w:t>
            </w:r>
          </w:p>
        </w:tc>
        <w:tc>
          <w:tcPr>
            <w:tcW w:w="2448" w:type="dxa"/>
            <w:shd w:val="clear" w:color="auto" w:fill="EEF3F8"/>
            <w:tcMar>
              <w:top w:w="70" w:type="dxa"/>
              <w:left w:w="90" w:type="dxa"/>
              <w:bottom w:w="70" w:type="dxa"/>
              <w:right w:w="90" w:type="dxa"/>
            </w:tcMar>
            <w:vAlign w:val="center"/>
          </w:tcPr>
          <w:p w14:paraId="44FE931A" w14:textId="77777777" w:rsidR="00161F91" w:rsidRDefault="00000000">
            <w:pPr>
              <w:pStyle w:val="ExhibitTableBody"/>
              <w:jc w:val="center"/>
            </w:pPr>
            <w:r>
              <w:t>2.9%</w:t>
            </w:r>
          </w:p>
        </w:tc>
        <w:tc>
          <w:tcPr>
            <w:tcW w:w="2448" w:type="dxa"/>
            <w:shd w:val="clear" w:color="auto" w:fill="EEF3F8"/>
            <w:tcMar>
              <w:top w:w="70" w:type="dxa"/>
              <w:left w:w="90" w:type="dxa"/>
              <w:bottom w:w="70" w:type="dxa"/>
              <w:right w:w="90" w:type="dxa"/>
            </w:tcMar>
            <w:vAlign w:val="center"/>
          </w:tcPr>
          <w:p w14:paraId="755E14E6" w14:textId="77777777" w:rsidR="00161F91" w:rsidRDefault="00000000">
            <w:pPr>
              <w:pStyle w:val="ExhibitTableBody"/>
              <w:jc w:val="center"/>
            </w:pPr>
            <w:r>
              <w:t>4.2%</w:t>
            </w:r>
          </w:p>
        </w:tc>
      </w:tr>
      <w:tr w:rsidR="00161F91" w14:paraId="222D00B3" w14:textId="77777777">
        <w:trPr>
          <w:jc w:val="center"/>
        </w:trPr>
        <w:tc>
          <w:tcPr>
            <w:tcW w:w="4464" w:type="dxa"/>
            <w:tcMar>
              <w:top w:w="70" w:type="dxa"/>
              <w:left w:w="90" w:type="dxa"/>
              <w:bottom w:w="70" w:type="dxa"/>
              <w:right w:w="90" w:type="dxa"/>
            </w:tcMar>
            <w:vAlign w:val="center"/>
          </w:tcPr>
          <w:p w14:paraId="0CAB8AB6" w14:textId="77777777" w:rsidR="00161F91" w:rsidRDefault="00000000">
            <w:pPr>
              <w:pStyle w:val="ExhibitTableBody"/>
            </w:pPr>
            <w:r>
              <w:t>Largest ten holdings</w:t>
            </w:r>
          </w:p>
        </w:tc>
        <w:tc>
          <w:tcPr>
            <w:tcW w:w="2448" w:type="dxa"/>
            <w:tcMar>
              <w:top w:w="70" w:type="dxa"/>
              <w:left w:w="90" w:type="dxa"/>
              <w:bottom w:w="70" w:type="dxa"/>
              <w:right w:w="90" w:type="dxa"/>
            </w:tcMar>
            <w:vAlign w:val="center"/>
          </w:tcPr>
          <w:p w14:paraId="2BF513BA" w14:textId="77777777" w:rsidR="00161F91" w:rsidRDefault="00000000">
            <w:pPr>
              <w:pStyle w:val="ExhibitTableBody"/>
              <w:jc w:val="center"/>
            </w:pPr>
            <w:r>
              <w:t>39.6% of assets</w:t>
            </w:r>
          </w:p>
        </w:tc>
        <w:tc>
          <w:tcPr>
            <w:tcW w:w="2448" w:type="dxa"/>
            <w:tcMar>
              <w:top w:w="70" w:type="dxa"/>
              <w:left w:w="90" w:type="dxa"/>
              <w:bottom w:w="70" w:type="dxa"/>
              <w:right w:w="90" w:type="dxa"/>
            </w:tcMar>
            <w:vAlign w:val="center"/>
          </w:tcPr>
          <w:p w14:paraId="74029578" w14:textId="77777777" w:rsidR="00161F91" w:rsidRDefault="00000000">
            <w:pPr>
              <w:pStyle w:val="ExhibitTableBody"/>
              <w:jc w:val="center"/>
            </w:pPr>
            <w:r>
              <w:t>37.8% of assets</w:t>
            </w:r>
          </w:p>
        </w:tc>
      </w:tr>
      <w:tr w:rsidR="00161F91" w14:paraId="17A369E0" w14:textId="77777777">
        <w:trPr>
          <w:jc w:val="center"/>
        </w:trPr>
        <w:tc>
          <w:tcPr>
            <w:tcW w:w="4464" w:type="dxa"/>
            <w:shd w:val="clear" w:color="auto" w:fill="EEF3F8"/>
            <w:tcMar>
              <w:top w:w="70" w:type="dxa"/>
              <w:left w:w="90" w:type="dxa"/>
              <w:bottom w:w="70" w:type="dxa"/>
              <w:right w:w="90" w:type="dxa"/>
            </w:tcMar>
            <w:vAlign w:val="center"/>
          </w:tcPr>
          <w:p w14:paraId="3380A048" w14:textId="77777777" w:rsidR="00161F91" w:rsidRDefault="00000000">
            <w:pPr>
              <w:pStyle w:val="ExhibitTableBody"/>
            </w:pPr>
            <w:r>
              <w:t>Institutional share class</w:t>
            </w:r>
          </w:p>
        </w:tc>
        <w:tc>
          <w:tcPr>
            <w:tcW w:w="2448" w:type="dxa"/>
            <w:shd w:val="clear" w:color="auto" w:fill="EEF3F8"/>
            <w:tcMar>
              <w:top w:w="70" w:type="dxa"/>
              <w:left w:w="90" w:type="dxa"/>
              <w:bottom w:w="70" w:type="dxa"/>
              <w:right w:w="90" w:type="dxa"/>
            </w:tcMar>
            <w:vAlign w:val="center"/>
          </w:tcPr>
          <w:p w14:paraId="6891A80B" w14:textId="77777777" w:rsidR="00161F91" w:rsidRDefault="00000000">
            <w:pPr>
              <w:pStyle w:val="ExhibitTableBody"/>
              <w:jc w:val="center"/>
            </w:pPr>
            <w:r>
              <w:t>57% of assets</w:t>
            </w:r>
          </w:p>
        </w:tc>
        <w:tc>
          <w:tcPr>
            <w:tcW w:w="2448" w:type="dxa"/>
            <w:shd w:val="clear" w:color="auto" w:fill="EEF3F8"/>
            <w:tcMar>
              <w:top w:w="70" w:type="dxa"/>
              <w:left w:w="90" w:type="dxa"/>
              <w:bottom w:w="70" w:type="dxa"/>
              <w:right w:w="90" w:type="dxa"/>
            </w:tcMar>
            <w:vAlign w:val="center"/>
          </w:tcPr>
          <w:p w14:paraId="36E8AF8C" w14:textId="77777777" w:rsidR="00161F91" w:rsidRDefault="00000000">
            <w:pPr>
              <w:pStyle w:val="ExhibitTableBody"/>
              <w:jc w:val="center"/>
            </w:pPr>
            <w:r>
              <w:t>54% of assets</w:t>
            </w:r>
          </w:p>
        </w:tc>
      </w:tr>
      <w:tr w:rsidR="00161F91" w14:paraId="03932248" w14:textId="77777777">
        <w:trPr>
          <w:jc w:val="center"/>
        </w:trPr>
        <w:tc>
          <w:tcPr>
            <w:tcW w:w="4464" w:type="dxa"/>
            <w:tcMar>
              <w:top w:w="70" w:type="dxa"/>
              <w:left w:w="90" w:type="dxa"/>
              <w:bottom w:w="70" w:type="dxa"/>
              <w:right w:w="90" w:type="dxa"/>
            </w:tcMar>
            <w:vAlign w:val="center"/>
          </w:tcPr>
          <w:p w14:paraId="73216BF2" w14:textId="77777777" w:rsidR="00161F91" w:rsidRDefault="00000000">
            <w:pPr>
              <w:pStyle w:val="ExhibitTableBody"/>
            </w:pPr>
            <w:r>
              <w:t>Retail and retirement accounts</w:t>
            </w:r>
          </w:p>
        </w:tc>
        <w:tc>
          <w:tcPr>
            <w:tcW w:w="2448" w:type="dxa"/>
            <w:tcMar>
              <w:top w:w="70" w:type="dxa"/>
              <w:left w:w="90" w:type="dxa"/>
              <w:bottom w:w="70" w:type="dxa"/>
              <w:right w:w="90" w:type="dxa"/>
            </w:tcMar>
            <w:vAlign w:val="center"/>
          </w:tcPr>
          <w:p w14:paraId="64371E3F" w14:textId="77777777" w:rsidR="00161F91" w:rsidRDefault="00000000">
            <w:pPr>
              <w:pStyle w:val="ExhibitTableBody"/>
              <w:jc w:val="center"/>
            </w:pPr>
            <w:r>
              <w:t>43% of assets</w:t>
            </w:r>
          </w:p>
        </w:tc>
        <w:tc>
          <w:tcPr>
            <w:tcW w:w="2448" w:type="dxa"/>
            <w:tcMar>
              <w:top w:w="70" w:type="dxa"/>
              <w:left w:w="90" w:type="dxa"/>
              <w:bottom w:w="70" w:type="dxa"/>
              <w:right w:w="90" w:type="dxa"/>
            </w:tcMar>
            <w:vAlign w:val="center"/>
          </w:tcPr>
          <w:p w14:paraId="31903021" w14:textId="77777777" w:rsidR="00161F91" w:rsidRDefault="00000000">
            <w:pPr>
              <w:pStyle w:val="ExhibitTableBody"/>
              <w:jc w:val="center"/>
            </w:pPr>
            <w:r>
              <w:t>46% of assets</w:t>
            </w:r>
          </w:p>
        </w:tc>
      </w:tr>
      <w:tr w:rsidR="00161F91" w14:paraId="38DB91F3" w14:textId="77777777">
        <w:trPr>
          <w:jc w:val="center"/>
        </w:trPr>
        <w:tc>
          <w:tcPr>
            <w:tcW w:w="4464" w:type="dxa"/>
            <w:shd w:val="clear" w:color="auto" w:fill="EEF3F8"/>
            <w:tcMar>
              <w:top w:w="70" w:type="dxa"/>
              <w:left w:w="90" w:type="dxa"/>
              <w:bottom w:w="70" w:type="dxa"/>
              <w:right w:w="90" w:type="dxa"/>
            </w:tcMar>
            <w:vAlign w:val="center"/>
          </w:tcPr>
          <w:p w14:paraId="3E96D1CA" w14:textId="77777777" w:rsidR="00161F91" w:rsidRDefault="00000000">
            <w:pPr>
              <w:pStyle w:val="ExhibitTableBody"/>
            </w:pPr>
            <w:r>
              <w:t>One-year return</w:t>
            </w:r>
          </w:p>
        </w:tc>
        <w:tc>
          <w:tcPr>
            <w:tcW w:w="2448" w:type="dxa"/>
            <w:shd w:val="clear" w:color="auto" w:fill="EEF3F8"/>
            <w:tcMar>
              <w:top w:w="70" w:type="dxa"/>
              <w:left w:w="90" w:type="dxa"/>
              <w:bottom w:w="70" w:type="dxa"/>
              <w:right w:w="90" w:type="dxa"/>
            </w:tcMar>
            <w:vAlign w:val="center"/>
          </w:tcPr>
          <w:p w14:paraId="3AFAFD9D" w14:textId="77777777" w:rsidR="00161F91" w:rsidRDefault="00000000">
            <w:pPr>
              <w:pStyle w:val="ExhibitTableBody"/>
              <w:jc w:val="center"/>
            </w:pPr>
            <w:r>
              <w:t>8.7%</w:t>
            </w:r>
          </w:p>
        </w:tc>
        <w:tc>
          <w:tcPr>
            <w:tcW w:w="2448" w:type="dxa"/>
            <w:shd w:val="clear" w:color="auto" w:fill="EEF3F8"/>
            <w:tcMar>
              <w:top w:w="70" w:type="dxa"/>
              <w:left w:w="90" w:type="dxa"/>
              <w:bottom w:w="70" w:type="dxa"/>
              <w:right w:w="90" w:type="dxa"/>
            </w:tcMar>
            <w:vAlign w:val="center"/>
          </w:tcPr>
          <w:p w14:paraId="49E03199" w14:textId="77777777" w:rsidR="00161F91" w:rsidRDefault="00000000">
            <w:pPr>
              <w:pStyle w:val="ExhibitTableBody"/>
              <w:jc w:val="center"/>
            </w:pPr>
            <w:r>
              <w:t>14.9% benchmark</w:t>
            </w:r>
          </w:p>
        </w:tc>
      </w:tr>
    </w:tbl>
    <w:p w14:paraId="5A7AE92C" w14:textId="77777777" w:rsidR="00161F91" w:rsidRDefault="00000000">
      <w:pPr>
        <w:pStyle w:val="SourceNote"/>
      </w:pPr>
      <w:r>
        <w:t>Source: Summit Ridge internal estimates; all fund-specific figures are fictional.</w:t>
      </w:r>
    </w:p>
    <w:p w14:paraId="38502B48" w14:textId="77777777" w:rsidR="00161F91" w:rsidRDefault="00161F91">
      <w:pPr>
        <w:pStyle w:val="CaseSpacer"/>
      </w:pPr>
    </w:p>
    <w:p w14:paraId="76992B04" w14:textId="77777777" w:rsidR="00161F91" w:rsidRDefault="00000000">
      <w:pPr>
        <w:pStyle w:val="Heading1"/>
      </w:pPr>
      <w:r>
        <w:t>Two Kinds of Investors</w:t>
      </w:r>
    </w:p>
    <w:p w14:paraId="6D142BB1" w14:textId="77777777" w:rsidR="00161F91" w:rsidRDefault="00000000">
      <w:r>
        <w:t>The fund served both retail and institutional investors. Retail purchases and redemptions arrived through retirement plans, brokerage platforms, financial advisers, and direct accounts. These orders were numerous but usually small. The transfer agent often had partial visibility during the day, with final totals available only after intermediaries completed their processing.</w:t>
      </w:r>
    </w:p>
    <w:p w14:paraId="39DD0D3A" w14:textId="77777777" w:rsidR="00161F91" w:rsidRDefault="00000000">
      <w:r>
        <w:t>Institutional investors behaved differently. Pension plans, endowments, and advisory firms sometimes moved tens or hundreds of millions of dollars at once. Some gave Summit Ridge advance notice, but others waited until the day of the transaction. An institution redeeming $200 million could materially change the fund’s cash position even if thousands of retail investors were buying shares at the same time.</w:t>
      </w:r>
    </w:p>
    <w:p w14:paraId="70514182" w14:textId="77777777" w:rsidR="00161F91" w:rsidRDefault="00000000">
      <w:r>
        <w:t>Flows were not independent of markets. Strong performance and rising markets often attracted purchases, allowing the portfolio team to deploy new cash gradually. Market declines, adverse publicity, or a period of benchmark underperformance could trigger redemptions precisely when liquidity was most expensive. Higher short-term interest rates could also encourage investors to move money from equity funds into money market funds or bond funds.</w:t>
      </w:r>
    </w:p>
    <w:p w14:paraId="784B1774" w14:textId="77777777" w:rsidR="00161F91" w:rsidRDefault="00000000">
      <w:pPr>
        <w:pStyle w:val="Heading2"/>
      </w:pPr>
      <w:r>
        <w:t>Exhibit 2. Recent Daily Investor Flows</w:t>
      </w:r>
    </w:p>
    <w:tbl>
      <w:tblPr>
        <w:tblStyle w:val="TableGrid"/>
        <w:tblW w:w="0" w:type="auto"/>
        <w:jc w:val="center"/>
        <w:tblLook w:val="04A0" w:firstRow="1" w:lastRow="0" w:firstColumn="1" w:lastColumn="0" w:noHBand="0" w:noVBand="1"/>
      </w:tblPr>
      <w:tblGrid>
        <w:gridCol w:w="1944"/>
        <w:gridCol w:w="1944"/>
        <w:gridCol w:w="2232"/>
        <w:gridCol w:w="1656"/>
        <w:gridCol w:w="1944"/>
      </w:tblGrid>
      <w:tr w:rsidR="00161F91" w14:paraId="24FB9D89" w14:textId="77777777">
        <w:trPr>
          <w:jc w:val="center"/>
        </w:trPr>
        <w:tc>
          <w:tcPr>
            <w:tcW w:w="1944" w:type="dxa"/>
            <w:shd w:val="clear" w:color="auto" w:fill="17365D"/>
            <w:tcMar>
              <w:top w:w="70" w:type="dxa"/>
              <w:left w:w="90" w:type="dxa"/>
              <w:bottom w:w="70" w:type="dxa"/>
              <w:right w:w="90" w:type="dxa"/>
            </w:tcMar>
            <w:vAlign w:val="center"/>
          </w:tcPr>
          <w:p w14:paraId="73CFA776" w14:textId="77777777" w:rsidR="00161F91" w:rsidRDefault="00000000">
            <w:pPr>
              <w:pStyle w:val="ExhibitTableHeader"/>
              <w:jc w:val="center"/>
            </w:pPr>
            <w:r>
              <w:t>Trading day</w:t>
            </w:r>
          </w:p>
        </w:tc>
        <w:tc>
          <w:tcPr>
            <w:tcW w:w="1944" w:type="dxa"/>
            <w:shd w:val="clear" w:color="auto" w:fill="17365D"/>
            <w:tcMar>
              <w:top w:w="70" w:type="dxa"/>
              <w:left w:w="90" w:type="dxa"/>
              <w:bottom w:w="70" w:type="dxa"/>
              <w:right w:w="90" w:type="dxa"/>
            </w:tcMar>
            <w:vAlign w:val="center"/>
          </w:tcPr>
          <w:p w14:paraId="0058507C" w14:textId="77777777" w:rsidR="00161F91" w:rsidRDefault="00000000">
            <w:pPr>
              <w:pStyle w:val="ExhibitTableHeader"/>
              <w:jc w:val="center"/>
            </w:pPr>
            <w:r>
              <w:t>Retail net flow</w:t>
            </w:r>
          </w:p>
        </w:tc>
        <w:tc>
          <w:tcPr>
            <w:tcW w:w="2232" w:type="dxa"/>
            <w:shd w:val="clear" w:color="auto" w:fill="17365D"/>
            <w:tcMar>
              <w:top w:w="70" w:type="dxa"/>
              <w:left w:w="90" w:type="dxa"/>
              <w:bottom w:w="70" w:type="dxa"/>
              <w:right w:w="90" w:type="dxa"/>
            </w:tcMar>
            <w:vAlign w:val="center"/>
          </w:tcPr>
          <w:p w14:paraId="571446D7" w14:textId="77777777" w:rsidR="00161F91" w:rsidRDefault="00000000">
            <w:pPr>
              <w:pStyle w:val="ExhibitTableHeader"/>
              <w:jc w:val="center"/>
            </w:pPr>
            <w:r>
              <w:t>Institutional net flow</w:t>
            </w:r>
          </w:p>
        </w:tc>
        <w:tc>
          <w:tcPr>
            <w:tcW w:w="1656" w:type="dxa"/>
            <w:shd w:val="clear" w:color="auto" w:fill="17365D"/>
            <w:tcMar>
              <w:top w:w="70" w:type="dxa"/>
              <w:left w:w="90" w:type="dxa"/>
              <w:bottom w:w="70" w:type="dxa"/>
              <w:right w:w="90" w:type="dxa"/>
            </w:tcMar>
            <w:vAlign w:val="center"/>
          </w:tcPr>
          <w:p w14:paraId="3FEE7CE0" w14:textId="77777777" w:rsidR="00161F91" w:rsidRDefault="00000000">
            <w:pPr>
              <w:pStyle w:val="ExhibitTableHeader"/>
              <w:jc w:val="center"/>
            </w:pPr>
            <w:r>
              <w:t>Market return</w:t>
            </w:r>
          </w:p>
        </w:tc>
        <w:tc>
          <w:tcPr>
            <w:tcW w:w="1944" w:type="dxa"/>
            <w:shd w:val="clear" w:color="auto" w:fill="17365D"/>
            <w:tcMar>
              <w:top w:w="70" w:type="dxa"/>
              <w:left w:w="90" w:type="dxa"/>
              <w:bottom w:w="70" w:type="dxa"/>
              <w:right w:w="90" w:type="dxa"/>
            </w:tcMar>
            <w:vAlign w:val="center"/>
          </w:tcPr>
          <w:p w14:paraId="3B396C46" w14:textId="77777777" w:rsidR="00161F91" w:rsidRDefault="00000000">
            <w:pPr>
              <w:pStyle w:val="ExhibitTableHeader"/>
              <w:jc w:val="center"/>
            </w:pPr>
            <w:r>
              <w:t>Closing cash</w:t>
            </w:r>
          </w:p>
        </w:tc>
      </w:tr>
      <w:tr w:rsidR="00161F91" w14:paraId="0D004F26" w14:textId="77777777">
        <w:trPr>
          <w:jc w:val="center"/>
        </w:trPr>
        <w:tc>
          <w:tcPr>
            <w:tcW w:w="1944" w:type="dxa"/>
            <w:tcMar>
              <w:top w:w="70" w:type="dxa"/>
              <w:left w:w="90" w:type="dxa"/>
              <w:bottom w:w="70" w:type="dxa"/>
              <w:right w:w="90" w:type="dxa"/>
            </w:tcMar>
            <w:vAlign w:val="center"/>
          </w:tcPr>
          <w:p w14:paraId="63D75E05" w14:textId="77777777" w:rsidR="00161F91" w:rsidRDefault="00000000">
            <w:pPr>
              <w:pStyle w:val="ExhibitTableBody"/>
            </w:pPr>
            <w:r>
              <w:t>Mon., Oct. 5</w:t>
            </w:r>
          </w:p>
        </w:tc>
        <w:tc>
          <w:tcPr>
            <w:tcW w:w="1944" w:type="dxa"/>
            <w:tcMar>
              <w:top w:w="70" w:type="dxa"/>
              <w:left w:w="90" w:type="dxa"/>
              <w:bottom w:w="70" w:type="dxa"/>
              <w:right w:w="90" w:type="dxa"/>
            </w:tcMar>
            <w:vAlign w:val="center"/>
          </w:tcPr>
          <w:p w14:paraId="583ECA12" w14:textId="77777777" w:rsidR="00161F91" w:rsidRDefault="00000000">
            <w:pPr>
              <w:pStyle w:val="ExhibitTableBody"/>
              <w:jc w:val="center"/>
            </w:pPr>
            <w:r>
              <w:t>+$18M</w:t>
            </w:r>
          </w:p>
        </w:tc>
        <w:tc>
          <w:tcPr>
            <w:tcW w:w="2232" w:type="dxa"/>
            <w:tcMar>
              <w:top w:w="70" w:type="dxa"/>
              <w:left w:w="90" w:type="dxa"/>
              <w:bottom w:w="70" w:type="dxa"/>
              <w:right w:w="90" w:type="dxa"/>
            </w:tcMar>
            <w:vAlign w:val="center"/>
          </w:tcPr>
          <w:p w14:paraId="7BDAEFB9" w14:textId="77777777" w:rsidR="00161F91" w:rsidRDefault="00000000">
            <w:pPr>
              <w:pStyle w:val="ExhibitTableBody"/>
              <w:jc w:val="center"/>
            </w:pPr>
            <w:r>
              <w:t>-$22M</w:t>
            </w:r>
          </w:p>
        </w:tc>
        <w:tc>
          <w:tcPr>
            <w:tcW w:w="1656" w:type="dxa"/>
            <w:tcMar>
              <w:top w:w="70" w:type="dxa"/>
              <w:left w:w="90" w:type="dxa"/>
              <w:bottom w:w="70" w:type="dxa"/>
              <w:right w:w="90" w:type="dxa"/>
            </w:tcMar>
            <w:vAlign w:val="center"/>
          </w:tcPr>
          <w:p w14:paraId="192B8E96" w14:textId="77777777" w:rsidR="00161F91" w:rsidRDefault="00000000">
            <w:pPr>
              <w:pStyle w:val="ExhibitTableBody"/>
              <w:jc w:val="center"/>
            </w:pPr>
            <w:r>
              <w:t>+0.6%</w:t>
            </w:r>
          </w:p>
        </w:tc>
        <w:tc>
          <w:tcPr>
            <w:tcW w:w="1944" w:type="dxa"/>
            <w:tcMar>
              <w:top w:w="70" w:type="dxa"/>
              <w:left w:w="90" w:type="dxa"/>
              <w:bottom w:w="70" w:type="dxa"/>
              <w:right w:w="90" w:type="dxa"/>
            </w:tcMar>
            <w:vAlign w:val="center"/>
          </w:tcPr>
          <w:p w14:paraId="3709C611" w14:textId="77777777" w:rsidR="00161F91" w:rsidRDefault="00000000">
            <w:pPr>
              <w:pStyle w:val="ExhibitTableBody"/>
              <w:jc w:val="center"/>
            </w:pPr>
            <w:r>
              <w:t>$279M</w:t>
            </w:r>
          </w:p>
        </w:tc>
      </w:tr>
      <w:tr w:rsidR="00161F91" w14:paraId="4AF37256" w14:textId="77777777">
        <w:trPr>
          <w:jc w:val="center"/>
        </w:trPr>
        <w:tc>
          <w:tcPr>
            <w:tcW w:w="1944" w:type="dxa"/>
            <w:shd w:val="clear" w:color="auto" w:fill="EEF3F8"/>
            <w:tcMar>
              <w:top w:w="70" w:type="dxa"/>
              <w:left w:w="90" w:type="dxa"/>
              <w:bottom w:w="70" w:type="dxa"/>
              <w:right w:w="90" w:type="dxa"/>
            </w:tcMar>
            <w:vAlign w:val="center"/>
          </w:tcPr>
          <w:p w14:paraId="5FE91788" w14:textId="77777777" w:rsidR="00161F91" w:rsidRDefault="00000000">
            <w:pPr>
              <w:pStyle w:val="ExhibitTableBody"/>
            </w:pPr>
            <w:r>
              <w:t>Tue., Oct. 6</w:t>
            </w:r>
          </w:p>
        </w:tc>
        <w:tc>
          <w:tcPr>
            <w:tcW w:w="1944" w:type="dxa"/>
            <w:shd w:val="clear" w:color="auto" w:fill="EEF3F8"/>
            <w:tcMar>
              <w:top w:w="70" w:type="dxa"/>
              <w:left w:w="90" w:type="dxa"/>
              <w:bottom w:w="70" w:type="dxa"/>
              <w:right w:w="90" w:type="dxa"/>
            </w:tcMar>
            <w:vAlign w:val="center"/>
          </w:tcPr>
          <w:p w14:paraId="0C389520" w14:textId="77777777" w:rsidR="00161F91" w:rsidRDefault="00000000">
            <w:pPr>
              <w:pStyle w:val="ExhibitTableBody"/>
              <w:jc w:val="center"/>
            </w:pPr>
            <w:r>
              <w:t>-$11M</w:t>
            </w:r>
          </w:p>
        </w:tc>
        <w:tc>
          <w:tcPr>
            <w:tcW w:w="2232" w:type="dxa"/>
            <w:shd w:val="clear" w:color="auto" w:fill="EEF3F8"/>
            <w:tcMar>
              <w:top w:w="70" w:type="dxa"/>
              <w:left w:w="90" w:type="dxa"/>
              <w:bottom w:w="70" w:type="dxa"/>
              <w:right w:w="90" w:type="dxa"/>
            </w:tcMar>
            <w:vAlign w:val="center"/>
          </w:tcPr>
          <w:p w14:paraId="71BDA27F" w14:textId="77777777" w:rsidR="00161F91" w:rsidRDefault="00000000">
            <w:pPr>
              <w:pStyle w:val="ExhibitTableBody"/>
              <w:jc w:val="center"/>
            </w:pPr>
            <w:r>
              <w:t>+$35M</w:t>
            </w:r>
          </w:p>
        </w:tc>
        <w:tc>
          <w:tcPr>
            <w:tcW w:w="1656" w:type="dxa"/>
            <w:shd w:val="clear" w:color="auto" w:fill="EEF3F8"/>
            <w:tcMar>
              <w:top w:w="70" w:type="dxa"/>
              <w:left w:w="90" w:type="dxa"/>
              <w:bottom w:w="70" w:type="dxa"/>
              <w:right w:w="90" w:type="dxa"/>
            </w:tcMar>
            <w:vAlign w:val="center"/>
          </w:tcPr>
          <w:p w14:paraId="130FD2FB" w14:textId="77777777" w:rsidR="00161F91" w:rsidRDefault="00000000">
            <w:pPr>
              <w:pStyle w:val="ExhibitTableBody"/>
              <w:jc w:val="center"/>
            </w:pPr>
            <w:r>
              <w:t>+0.2%</w:t>
            </w:r>
          </w:p>
        </w:tc>
        <w:tc>
          <w:tcPr>
            <w:tcW w:w="1944" w:type="dxa"/>
            <w:shd w:val="clear" w:color="auto" w:fill="EEF3F8"/>
            <w:tcMar>
              <w:top w:w="70" w:type="dxa"/>
              <w:left w:w="90" w:type="dxa"/>
              <w:bottom w:w="70" w:type="dxa"/>
              <w:right w:w="90" w:type="dxa"/>
            </w:tcMar>
            <w:vAlign w:val="center"/>
          </w:tcPr>
          <w:p w14:paraId="611DAFF0" w14:textId="77777777" w:rsidR="00161F91" w:rsidRDefault="00000000">
            <w:pPr>
              <w:pStyle w:val="ExhibitTableBody"/>
              <w:jc w:val="center"/>
            </w:pPr>
            <w:r>
              <w:t>$301M</w:t>
            </w:r>
          </w:p>
        </w:tc>
      </w:tr>
      <w:tr w:rsidR="00161F91" w14:paraId="1EFBDA6F" w14:textId="77777777">
        <w:trPr>
          <w:jc w:val="center"/>
        </w:trPr>
        <w:tc>
          <w:tcPr>
            <w:tcW w:w="1944" w:type="dxa"/>
            <w:tcMar>
              <w:top w:w="70" w:type="dxa"/>
              <w:left w:w="90" w:type="dxa"/>
              <w:bottom w:w="70" w:type="dxa"/>
              <w:right w:w="90" w:type="dxa"/>
            </w:tcMar>
            <w:vAlign w:val="center"/>
          </w:tcPr>
          <w:p w14:paraId="78763983" w14:textId="77777777" w:rsidR="00161F91" w:rsidRDefault="00000000">
            <w:pPr>
              <w:pStyle w:val="ExhibitTableBody"/>
            </w:pPr>
            <w:r>
              <w:t>Wed., Oct. 7</w:t>
            </w:r>
          </w:p>
        </w:tc>
        <w:tc>
          <w:tcPr>
            <w:tcW w:w="1944" w:type="dxa"/>
            <w:tcMar>
              <w:top w:w="70" w:type="dxa"/>
              <w:left w:w="90" w:type="dxa"/>
              <w:bottom w:w="70" w:type="dxa"/>
              <w:right w:w="90" w:type="dxa"/>
            </w:tcMar>
            <w:vAlign w:val="center"/>
          </w:tcPr>
          <w:p w14:paraId="6A89427C" w14:textId="77777777" w:rsidR="00161F91" w:rsidRDefault="00000000">
            <w:pPr>
              <w:pStyle w:val="ExhibitTableBody"/>
              <w:jc w:val="center"/>
            </w:pPr>
            <w:r>
              <w:t>-$24M</w:t>
            </w:r>
          </w:p>
        </w:tc>
        <w:tc>
          <w:tcPr>
            <w:tcW w:w="2232" w:type="dxa"/>
            <w:tcMar>
              <w:top w:w="70" w:type="dxa"/>
              <w:left w:w="90" w:type="dxa"/>
              <w:bottom w:w="70" w:type="dxa"/>
              <w:right w:w="90" w:type="dxa"/>
            </w:tcMar>
            <w:vAlign w:val="center"/>
          </w:tcPr>
          <w:p w14:paraId="2EC87E77" w14:textId="77777777" w:rsidR="00161F91" w:rsidRDefault="00000000">
            <w:pPr>
              <w:pStyle w:val="ExhibitTableBody"/>
              <w:jc w:val="center"/>
            </w:pPr>
            <w:r>
              <w:t>-$61M</w:t>
            </w:r>
          </w:p>
        </w:tc>
        <w:tc>
          <w:tcPr>
            <w:tcW w:w="1656" w:type="dxa"/>
            <w:tcMar>
              <w:top w:w="70" w:type="dxa"/>
              <w:left w:w="90" w:type="dxa"/>
              <w:bottom w:w="70" w:type="dxa"/>
              <w:right w:w="90" w:type="dxa"/>
            </w:tcMar>
            <w:vAlign w:val="center"/>
          </w:tcPr>
          <w:p w14:paraId="5CA878E4" w14:textId="77777777" w:rsidR="00161F91" w:rsidRDefault="00000000">
            <w:pPr>
              <w:pStyle w:val="ExhibitTableBody"/>
              <w:jc w:val="center"/>
            </w:pPr>
            <w:r>
              <w:t>-1.1%</w:t>
            </w:r>
          </w:p>
        </w:tc>
        <w:tc>
          <w:tcPr>
            <w:tcW w:w="1944" w:type="dxa"/>
            <w:tcMar>
              <w:top w:w="70" w:type="dxa"/>
              <w:left w:w="90" w:type="dxa"/>
              <w:bottom w:w="70" w:type="dxa"/>
              <w:right w:w="90" w:type="dxa"/>
            </w:tcMar>
            <w:vAlign w:val="center"/>
          </w:tcPr>
          <w:p w14:paraId="46329E9D" w14:textId="77777777" w:rsidR="00161F91" w:rsidRDefault="00000000">
            <w:pPr>
              <w:pStyle w:val="ExhibitTableBody"/>
              <w:jc w:val="center"/>
            </w:pPr>
            <w:r>
              <w:t>$268M</w:t>
            </w:r>
          </w:p>
        </w:tc>
      </w:tr>
      <w:tr w:rsidR="00161F91" w14:paraId="12875C70" w14:textId="77777777">
        <w:trPr>
          <w:jc w:val="center"/>
        </w:trPr>
        <w:tc>
          <w:tcPr>
            <w:tcW w:w="1944" w:type="dxa"/>
            <w:shd w:val="clear" w:color="auto" w:fill="EEF3F8"/>
            <w:tcMar>
              <w:top w:w="70" w:type="dxa"/>
              <w:left w:w="90" w:type="dxa"/>
              <w:bottom w:w="70" w:type="dxa"/>
              <w:right w:w="90" w:type="dxa"/>
            </w:tcMar>
            <w:vAlign w:val="center"/>
          </w:tcPr>
          <w:p w14:paraId="3EF78F4B" w14:textId="77777777" w:rsidR="00161F91" w:rsidRDefault="00000000">
            <w:pPr>
              <w:pStyle w:val="ExhibitTableBody"/>
            </w:pPr>
            <w:r>
              <w:t>Thu., Oct. 8</w:t>
            </w:r>
          </w:p>
        </w:tc>
        <w:tc>
          <w:tcPr>
            <w:tcW w:w="1944" w:type="dxa"/>
            <w:shd w:val="clear" w:color="auto" w:fill="EEF3F8"/>
            <w:tcMar>
              <w:top w:w="70" w:type="dxa"/>
              <w:left w:w="90" w:type="dxa"/>
              <w:bottom w:w="70" w:type="dxa"/>
              <w:right w:w="90" w:type="dxa"/>
            </w:tcMar>
            <w:vAlign w:val="center"/>
          </w:tcPr>
          <w:p w14:paraId="3A410836" w14:textId="77777777" w:rsidR="00161F91" w:rsidRDefault="00000000">
            <w:pPr>
              <w:pStyle w:val="ExhibitTableBody"/>
              <w:jc w:val="center"/>
            </w:pPr>
            <w:r>
              <w:t>+$7M</w:t>
            </w:r>
          </w:p>
        </w:tc>
        <w:tc>
          <w:tcPr>
            <w:tcW w:w="2232" w:type="dxa"/>
            <w:shd w:val="clear" w:color="auto" w:fill="EEF3F8"/>
            <w:tcMar>
              <w:top w:w="70" w:type="dxa"/>
              <w:left w:w="90" w:type="dxa"/>
              <w:bottom w:w="70" w:type="dxa"/>
              <w:right w:w="90" w:type="dxa"/>
            </w:tcMar>
            <w:vAlign w:val="center"/>
          </w:tcPr>
          <w:p w14:paraId="6BE4E2E5" w14:textId="77777777" w:rsidR="00161F91" w:rsidRDefault="00000000">
            <w:pPr>
              <w:pStyle w:val="ExhibitTableBody"/>
              <w:jc w:val="center"/>
            </w:pPr>
            <w:r>
              <w:t>-$14M</w:t>
            </w:r>
          </w:p>
        </w:tc>
        <w:tc>
          <w:tcPr>
            <w:tcW w:w="1656" w:type="dxa"/>
            <w:shd w:val="clear" w:color="auto" w:fill="EEF3F8"/>
            <w:tcMar>
              <w:top w:w="70" w:type="dxa"/>
              <w:left w:w="90" w:type="dxa"/>
              <w:bottom w:w="70" w:type="dxa"/>
              <w:right w:w="90" w:type="dxa"/>
            </w:tcMar>
            <w:vAlign w:val="center"/>
          </w:tcPr>
          <w:p w14:paraId="46E15EE1" w14:textId="77777777" w:rsidR="00161F91" w:rsidRDefault="00000000">
            <w:pPr>
              <w:pStyle w:val="ExhibitTableBody"/>
              <w:jc w:val="center"/>
            </w:pPr>
            <w:r>
              <w:t>+0.4%</w:t>
            </w:r>
          </w:p>
        </w:tc>
        <w:tc>
          <w:tcPr>
            <w:tcW w:w="1944" w:type="dxa"/>
            <w:shd w:val="clear" w:color="auto" w:fill="EEF3F8"/>
            <w:tcMar>
              <w:top w:w="70" w:type="dxa"/>
              <w:left w:w="90" w:type="dxa"/>
              <w:bottom w:w="70" w:type="dxa"/>
              <w:right w:w="90" w:type="dxa"/>
            </w:tcMar>
            <w:vAlign w:val="center"/>
          </w:tcPr>
          <w:p w14:paraId="4F01C8F6" w14:textId="77777777" w:rsidR="00161F91" w:rsidRDefault="00000000">
            <w:pPr>
              <w:pStyle w:val="ExhibitTableBody"/>
              <w:jc w:val="center"/>
            </w:pPr>
            <w:r>
              <w:t>$251M</w:t>
            </w:r>
          </w:p>
        </w:tc>
      </w:tr>
      <w:tr w:rsidR="00161F91" w14:paraId="4F38E878" w14:textId="77777777">
        <w:trPr>
          <w:jc w:val="center"/>
        </w:trPr>
        <w:tc>
          <w:tcPr>
            <w:tcW w:w="1944" w:type="dxa"/>
            <w:tcMar>
              <w:top w:w="70" w:type="dxa"/>
              <w:left w:w="90" w:type="dxa"/>
              <w:bottom w:w="70" w:type="dxa"/>
              <w:right w:w="90" w:type="dxa"/>
            </w:tcMar>
            <w:vAlign w:val="center"/>
          </w:tcPr>
          <w:p w14:paraId="6DF1EAB5" w14:textId="77777777" w:rsidR="00161F91" w:rsidRDefault="00000000">
            <w:pPr>
              <w:pStyle w:val="ExhibitTableBody"/>
            </w:pPr>
            <w:r>
              <w:t>Fri., Oct. 9</w:t>
            </w:r>
          </w:p>
        </w:tc>
        <w:tc>
          <w:tcPr>
            <w:tcW w:w="1944" w:type="dxa"/>
            <w:tcMar>
              <w:top w:w="70" w:type="dxa"/>
              <w:left w:w="90" w:type="dxa"/>
              <w:bottom w:w="70" w:type="dxa"/>
              <w:right w:w="90" w:type="dxa"/>
            </w:tcMar>
            <w:vAlign w:val="center"/>
          </w:tcPr>
          <w:p w14:paraId="74C62088" w14:textId="77777777" w:rsidR="00161F91" w:rsidRDefault="00000000">
            <w:pPr>
              <w:pStyle w:val="ExhibitTableBody"/>
              <w:jc w:val="center"/>
            </w:pPr>
            <w:r>
              <w:t>-$16M</w:t>
            </w:r>
          </w:p>
        </w:tc>
        <w:tc>
          <w:tcPr>
            <w:tcW w:w="2232" w:type="dxa"/>
            <w:tcMar>
              <w:top w:w="70" w:type="dxa"/>
              <w:left w:w="90" w:type="dxa"/>
              <w:bottom w:w="70" w:type="dxa"/>
              <w:right w:w="90" w:type="dxa"/>
            </w:tcMar>
            <w:vAlign w:val="center"/>
          </w:tcPr>
          <w:p w14:paraId="6FDAE821" w14:textId="77777777" w:rsidR="00161F91" w:rsidRDefault="00000000">
            <w:pPr>
              <w:pStyle w:val="ExhibitTableBody"/>
              <w:jc w:val="center"/>
            </w:pPr>
            <w:r>
              <w:t>+$9M</w:t>
            </w:r>
          </w:p>
        </w:tc>
        <w:tc>
          <w:tcPr>
            <w:tcW w:w="1656" w:type="dxa"/>
            <w:tcMar>
              <w:top w:w="70" w:type="dxa"/>
              <w:left w:w="90" w:type="dxa"/>
              <w:bottom w:w="70" w:type="dxa"/>
              <w:right w:w="90" w:type="dxa"/>
            </w:tcMar>
            <w:vAlign w:val="center"/>
          </w:tcPr>
          <w:p w14:paraId="3C083B64" w14:textId="77777777" w:rsidR="00161F91" w:rsidRDefault="00000000">
            <w:pPr>
              <w:pStyle w:val="ExhibitTableBody"/>
              <w:jc w:val="center"/>
            </w:pPr>
            <w:r>
              <w:t>-0.7%</w:t>
            </w:r>
          </w:p>
        </w:tc>
        <w:tc>
          <w:tcPr>
            <w:tcW w:w="1944" w:type="dxa"/>
            <w:tcMar>
              <w:top w:w="70" w:type="dxa"/>
              <w:left w:w="90" w:type="dxa"/>
              <w:bottom w:w="70" w:type="dxa"/>
              <w:right w:w="90" w:type="dxa"/>
            </w:tcMar>
            <w:vAlign w:val="center"/>
          </w:tcPr>
          <w:p w14:paraId="22DB397B" w14:textId="77777777" w:rsidR="00161F91" w:rsidRDefault="00000000">
            <w:pPr>
              <w:pStyle w:val="ExhibitTableBody"/>
              <w:jc w:val="center"/>
            </w:pPr>
            <w:r>
              <w:t>$246M</w:t>
            </w:r>
          </w:p>
        </w:tc>
      </w:tr>
      <w:tr w:rsidR="00161F91" w14:paraId="1B37BF02" w14:textId="77777777">
        <w:trPr>
          <w:jc w:val="center"/>
        </w:trPr>
        <w:tc>
          <w:tcPr>
            <w:tcW w:w="1944" w:type="dxa"/>
            <w:shd w:val="clear" w:color="auto" w:fill="EEF3F8"/>
            <w:tcMar>
              <w:top w:w="70" w:type="dxa"/>
              <w:left w:w="90" w:type="dxa"/>
              <w:bottom w:w="70" w:type="dxa"/>
              <w:right w:w="90" w:type="dxa"/>
            </w:tcMar>
            <w:vAlign w:val="center"/>
          </w:tcPr>
          <w:p w14:paraId="553B13B1" w14:textId="77777777" w:rsidR="00161F91" w:rsidRDefault="00000000">
            <w:pPr>
              <w:pStyle w:val="ExhibitTableBody"/>
            </w:pPr>
            <w:r>
              <w:t>Weekend estimate</w:t>
            </w:r>
          </w:p>
        </w:tc>
        <w:tc>
          <w:tcPr>
            <w:tcW w:w="1944" w:type="dxa"/>
            <w:shd w:val="clear" w:color="auto" w:fill="EEF3F8"/>
            <w:tcMar>
              <w:top w:w="70" w:type="dxa"/>
              <w:left w:w="90" w:type="dxa"/>
              <w:bottom w:w="70" w:type="dxa"/>
              <w:right w:w="90" w:type="dxa"/>
            </w:tcMar>
            <w:vAlign w:val="center"/>
          </w:tcPr>
          <w:p w14:paraId="566F4DCF" w14:textId="77777777" w:rsidR="00161F91" w:rsidRDefault="00000000">
            <w:pPr>
              <w:pStyle w:val="ExhibitTableBody"/>
              <w:jc w:val="center"/>
            </w:pPr>
            <w:r>
              <w:t>-$40M to -$90M</w:t>
            </w:r>
          </w:p>
        </w:tc>
        <w:tc>
          <w:tcPr>
            <w:tcW w:w="2232" w:type="dxa"/>
            <w:shd w:val="clear" w:color="auto" w:fill="EEF3F8"/>
            <w:tcMar>
              <w:top w:w="70" w:type="dxa"/>
              <w:left w:w="90" w:type="dxa"/>
              <w:bottom w:w="70" w:type="dxa"/>
              <w:right w:w="90" w:type="dxa"/>
            </w:tcMar>
            <w:vAlign w:val="center"/>
          </w:tcPr>
          <w:p w14:paraId="0708D63E" w14:textId="77777777" w:rsidR="00161F91" w:rsidRDefault="00000000">
            <w:pPr>
              <w:pStyle w:val="ExhibitTableBody"/>
              <w:jc w:val="center"/>
            </w:pPr>
            <w:r>
              <w:t>-$278M</w:t>
            </w:r>
          </w:p>
        </w:tc>
        <w:tc>
          <w:tcPr>
            <w:tcW w:w="1656" w:type="dxa"/>
            <w:shd w:val="clear" w:color="auto" w:fill="EEF3F8"/>
            <w:tcMar>
              <w:top w:w="70" w:type="dxa"/>
              <w:left w:w="90" w:type="dxa"/>
              <w:bottom w:w="70" w:type="dxa"/>
              <w:right w:w="90" w:type="dxa"/>
            </w:tcMar>
            <w:vAlign w:val="center"/>
          </w:tcPr>
          <w:p w14:paraId="790FCC68" w14:textId="77777777" w:rsidR="00161F91" w:rsidRDefault="00000000">
            <w:pPr>
              <w:pStyle w:val="ExhibitTableBody"/>
              <w:jc w:val="center"/>
            </w:pPr>
            <w:r>
              <w:t>Futures -2.1%</w:t>
            </w:r>
          </w:p>
        </w:tc>
        <w:tc>
          <w:tcPr>
            <w:tcW w:w="1944" w:type="dxa"/>
            <w:shd w:val="clear" w:color="auto" w:fill="EEF3F8"/>
            <w:tcMar>
              <w:top w:w="70" w:type="dxa"/>
              <w:left w:w="90" w:type="dxa"/>
              <w:bottom w:w="70" w:type="dxa"/>
              <w:right w:w="90" w:type="dxa"/>
            </w:tcMar>
            <w:vAlign w:val="center"/>
          </w:tcPr>
          <w:p w14:paraId="6E21A159" w14:textId="77777777" w:rsidR="00161F91" w:rsidRDefault="00000000">
            <w:pPr>
              <w:pStyle w:val="ExhibitTableBody"/>
              <w:jc w:val="center"/>
            </w:pPr>
            <w:r>
              <w:t>Not yet settled</w:t>
            </w:r>
          </w:p>
        </w:tc>
      </w:tr>
    </w:tbl>
    <w:p w14:paraId="44A763F4" w14:textId="77777777" w:rsidR="00161F91" w:rsidRDefault="00000000">
      <w:pPr>
        <w:pStyle w:val="SourceNote"/>
      </w:pPr>
      <w:r>
        <w:t>Source: Summit Ridge flow dashboard; fictional.</w:t>
      </w:r>
    </w:p>
    <w:p w14:paraId="64B25244" w14:textId="77777777" w:rsidR="00161F91" w:rsidRDefault="00161F91">
      <w:pPr>
        <w:pStyle w:val="CaseSpacer"/>
      </w:pPr>
    </w:p>
    <w:p w14:paraId="280AF79C" w14:textId="77777777" w:rsidR="00161F91" w:rsidRDefault="00000000">
      <w:pPr>
        <w:pStyle w:val="Heading1"/>
      </w:pPr>
      <w:r>
        <w:lastRenderedPageBreak/>
        <w:t>The Cost of Too Little Cash</w:t>
      </w:r>
    </w:p>
    <w:p w14:paraId="47C9EDA5" w14:textId="77777777" w:rsidR="00161F91" w:rsidRDefault="00000000">
      <w:r>
        <w:t>If the fund’s available cash fell below the amount required for redemptions, the trading desk would have to sell securities. The direct cost included commissions, bid-ask spreads, taxes in some markets, and market impact. The indirect cost could be larger. A hurried sale might occur at a depressed price, reveal Summit Ridge’s intentions to other traders, or force the portfolio away from the investment team’s preferred positions.</w:t>
      </w:r>
    </w:p>
    <w:p w14:paraId="28AEA1D8" w14:textId="77777777" w:rsidR="00161F91" w:rsidRDefault="00000000">
      <w:r>
        <w:t>Portfolio manager Victor Hale argued that the most liquid holdings should be sold first because they could be converted to cash quickly and at low cost. Marquez worried that repeatedly selling the most liquid securities would leave the remaining portfolio harder to trade. It could also increase concentration in smaller positions or sectors that the investment team would not have chosen to overweight.</w:t>
      </w:r>
    </w:p>
    <w:p w14:paraId="4E839936" w14:textId="77777777" w:rsidR="00161F91" w:rsidRDefault="00000000">
      <w:r>
        <w:t>The desk could instead sell positions that the analysts considered less attractive. That approach might improve the portfolio, but those securities were sometimes less liquid. The investment judgment also might be wrong. A stock sold to meet redemptions could rebound the following day, leaving remaining shareholders with a permanent loss relative to a strategy that had held more cash.</w:t>
      </w:r>
    </w:p>
    <w:p w14:paraId="299979DF" w14:textId="77777777" w:rsidR="00161F91" w:rsidRDefault="00000000">
      <w:pPr>
        <w:pStyle w:val="Heading2"/>
      </w:pPr>
      <w:r>
        <w:t>Exhibit 3. Potential Sources of $200 Million in Additional Cash</w:t>
      </w:r>
    </w:p>
    <w:tbl>
      <w:tblPr>
        <w:tblStyle w:val="TableGrid"/>
        <w:tblW w:w="0" w:type="auto"/>
        <w:jc w:val="center"/>
        <w:tblLook w:val="04A0" w:firstRow="1" w:lastRow="0" w:firstColumn="1" w:lastColumn="0" w:noHBand="0" w:noVBand="1"/>
      </w:tblPr>
      <w:tblGrid>
        <w:gridCol w:w="2376"/>
        <w:gridCol w:w="2016"/>
        <w:gridCol w:w="3384"/>
        <w:gridCol w:w="1944"/>
      </w:tblGrid>
      <w:tr w:rsidR="00161F91" w14:paraId="22EBDCEF" w14:textId="77777777">
        <w:trPr>
          <w:jc w:val="center"/>
        </w:trPr>
        <w:tc>
          <w:tcPr>
            <w:tcW w:w="2376" w:type="dxa"/>
            <w:shd w:val="clear" w:color="auto" w:fill="17365D"/>
            <w:tcMar>
              <w:top w:w="70" w:type="dxa"/>
              <w:left w:w="90" w:type="dxa"/>
              <w:bottom w:w="70" w:type="dxa"/>
              <w:right w:w="90" w:type="dxa"/>
            </w:tcMar>
            <w:vAlign w:val="center"/>
          </w:tcPr>
          <w:p w14:paraId="7FE51DE6" w14:textId="77777777" w:rsidR="00161F91" w:rsidRDefault="00000000">
            <w:pPr>
              <w:pStyle w:val="ExhibitTableHeader"/>
              <w:jc w:val="center"/>
            </w:pPr>
            <w:r>
              <w:t>Action</w:t>
            </w:r>
          </w:p>
        </w:tc>
        <w:tc>
          <w:tcPr>
            <w:tcW w:w="2016" w:type="dxa"/>
            <w:shd w:val="clear" w:color="auto" w:fill="17365D"/>
            <w:tcMar>
              <w:top w:w="70" w:type="dxa"/>
              <w:left w:w="90" w:type="dxa"/>
              <w:bottom w:w="70" w:type="dxa"/>
              <w:right w:w="90" w:type="dxa"/>
            </w:tcMar>
            <w:vAlign w:val="center"/>
          </w:tcPr>
          <w:p w14:paraId="13B9021C" w14:textId="77777777" w:rsidR="00161F91" w:rsidRDefault="00000000">
            <w:pPr>
              <w:pStyle w:val="ExhibitTableHeader"/>
              <w:jc w:val="center"/>
            </w:pPr>
            <w:r>
              <w:t>Estimated trading cost</w:t>
            </w:r>
          </w:p>
        </w:tc>
        <w:tc>
          <w:tcPr>
            <w:tcW w:w="3384" w:type="dxa"/>
            <w:shd w:val="clear" w:color="auto" w:fill="17365D"/>
            <w:tcMar>
              <w:top w:w="70" w:type="dxa"/>
              <w:left w:w="90" w:type="dxa"/>
              <w:bottom w:w="70" w:type="dxa"/>
              <w:right w:w="90" w:type="dxa"/>
            </w:tcMar>
            <w:vAlign w:val="center"/>
          </w:tcPr>
          <w:p w14:paraId="3B92A1E5" w14:textId="77777777" w:rsidR="00161F91" w:rsidRDefault="00000000">
            <w:pPr>
              <w:pStyle w:val="ExhibitTableHeader"/>
              <w:jc w:val="center"/>
            </w:pPr>
            <w:r>
              <w:t>Portfolio effect</w:t>
            </w:r>
          </w:p>
        </w:tc>
        <w:tc>
          <w:tcPr>
            <w:tcW w:w="1944" w:type="dxa"/>
            <w:shd w:val="clear" w:color="auto" w:fill="17365D"/>
            <w:tcMar>
              <w:top w:w="70" w:type="dxa"/>
              <w:left w:w="90" w:type="dxa"/>
              <w:bottom w:w="70" w:type="dxa"/>
              <w:right w:w="90" w:type="dxa"/>
            </w:tcMar>
            <w:vAlign w:val="center"/>
          </w:tcPr>
          <w:p w14:paraId="0359B11A" w14:textId="77777777" w:rsidR="00161F91" w:rsidRDefault="00000000">
            <w:pPr>
              <w:pStyle w:val="ExhibitTableHeader"/>
              <w:jc w:val="center"/>
            </w:pPr>
            <w:r>
              <w:t>Availability</w:t>
            </w:r>
          </w:p>
        </w:tc>
      </w:tr>
      <w:tr w:rsidR="00161F91" w14:paraId="3111C3B8" w14:textId="77777777">
        <w:trPr>
          <w:jc w:val="center"/>
        </w:trPr>
        <w:tc>
          <w:tcPr>
            <w:tcW w:w="2376" w:type="dxa"/>
            <w:tcMar>
              <w:top w:w="70" w:type="dxa"/>
              <w:left w:w="90" w:type="dxa"/>
              <w:bottom w:w="70" w:type="dxa"/>
              <w:right w:w="90" w:type="dxa"/>
            </w:tcMar>
            <w:vAlign w:val="center"/>
          </w:tcPr>
          <w:p w14:paraId="4D876FED" w14:textId="77777777" w:rsidR="00161F91" w:rsidRDefault="00000000">
            <w:pPr>
              <w:pStyle w:val="ExhibitTableBody"/>
            </w:pPr>
            <w:r>
              <w:t>Sell index futures / use overlay</w:t>
            </w:r>
          </w:p>
        </w:tc>
        <w:tc>
          <w:tcPr>
            <w:tcW w:w="2016" w:type="dxa"/>
            <w:tcMar>
              <w:top w:w="70" w:type="dxa"/>
              <w:left w:w="90" w:type="dxa"/>
              <w:bottom w:w="70" w:type="dxa"/>
              <w:right w:w="90" w:type="dxa"/>
            </w:tcMar>
            <w:vAlign w:val="center"/>
          </w:tcPr>
          <w:p w14:paraId="5FDDAC4A" w14:textId="77777777" w:rsidR="00161F91" w:rsidRDefault="00000000">
            <w:pPr>
              <w:pStyle w:val="ExhibitTableBody"/>
              <w:jc w:val="center"/>
            </w:pPr>
            <w:r>
              <w:t>$0.3M-$0.7M</w:t>
            </w:r>
          </w:p>
        </w:tc>
        <w:tc>
          <w:tcPr>
            <w:tcW w:w="3384" w:type="dxa"/>
            <w:tcMar>
              <w:top w:w="70" w:type="dxa"/>
              <w:left w:w="90" w:type="dxa"/>
              <w:bottom w:w="70" w:type="dxa"/>
              <w:right w:w="90" w:type="dxa"/>
            </w:tcMar>
            <w:vAlign w:val="center"/>
          </w:tcPr>
          <w:p w14:paraId="562780E0" w14:textId="77777777" w:rsidR="00161F91" w:rsidRDefault="00000000">
            <w:pPr>
              <w:pStyle w:val="ExhibitTableBody"/>
              <w:jc w:val="center"/>
            </w:pPr>
            <w:r>
              <w:t>Reduces market exposure temporarily</w:t>
            </w:r>
          </w:p>
        </w:tc>
        <w:tc>
          <w:tcPr>
            <w:tcW w:w="1944" w:type="dxa"/>
            <w:tcMar>
              <w:top w:w="70" w:type="dxa"/>
              <w:left w:w="90" w:type="dxa"/>
              <w:bottom w:w="70" w:type="dxa"/>
              <w:right w:w="90" w:type="dxa"/>
            </w:tcMar>
            <w:vAlign w:val="center"/>
          </w:tcPr>
          <w:p w14:paraId="44880417" w14:textId="77777777" w:rsidR="00161F91" w:rsidRDefault="00000000">
            <w:pPr>
              <w:pStyle w:val="ExhibitTableBody"/>
              <w:jc w:val="center"/>
            </w:pPr>
            <w:r>
              <w:t>Same day</w:t>
            </w:r>
          </w:p>
        </w:tc>
      </w:tr>
      <w:tr w:rsidR="00161F91" w14:paraId="72B1E3E5" w14:textId="77777777">
        <w:trPr>
          <w:jc w:val="center"/>
        </w:trPr>
        <w:tc>
          <w:tcPr>
            <w:tcW w:w="2376" w:type="dxa"/>
            <w:shd w:val="clear" w:color="auto" w:fill="EEF3F8"/>
            <w:tcMar>
              <w:top w:w="70" w:type="dxa"/>
              <w:left w:w="90" w:type="dxa"/>
              <w:bottom w:w="70" w:type="dxa"/>
              <w:right w:w="90" w:type="dxa"/>
            </w:tcMar>
            <w:vAlign w:val="center"/>
          </w:tcPr>
          <w:p w14:paraId="118E29C3" w14:textId="77777777" w:rsidR="00161F91" w:rsidRDefault="00000000">
            <w:pPr>
              <w:pStyle w:val="ExhibitTableBody"/>
            </w:pPr>
            <w:r>
              <w:t>Sell top 10 liquid holdings</w:t>
            </w:r>
          </w:p>
        </w:tc>
        <w:tc>
          <w:tcPr>
            <w:tcW w:w="2016" w:type="dxa"/>
            <w:shd w:val="clear" w:color="auto" w:fill="EEF3F8"/>
            <w:tcMar>
              <w:top w:w="70" w:type="dxa"/>
              <w:left w:w="90" w:type="dxa"/>
              <w:bottom w:w="70" w:type="dxa"/>
              <w:right w:w="90" w:type="dxa"/>
            </w:tcMar>
            <w:vAlign w:val="center"/>
          </w:tcPr>
          <w:p w14:paraId="15E4CEFF" w14:textId="77777777" w:rsidR="00161F91" w:rsidRDefault="00000000">
            <w:pPr>
              <w:pStyle w:val="ExhibitTableBody"/>
              <w:jc w:val="center"/>
            </w:pPr>
            <w:r>
              <w:t>$0.8M-$1.5M</w:t>
            </w:r>
          </w:p>
        </w:tc>
        <w:tc>
          <w:tcPr>
            <w:tcW w:w="3384" w:type="dxa"/>
            <w:shd w:val="clear" w:color="auto" w:fill="EEF3F8"/>
            <w:tcMar>
              <w:top w:w="70" w:type="dxa"/>
              <w:left w:w="90" w:type="dxa"/>
              <w:bottom w:w="70" w:type="dxa"/>
              <w:right w:w="90" w:type="dxa"/>
            </w:tcMar>
            <w:vAlign w:val="center"/>
          </w:tcPr>
          <w:p w14:paraId="05E5C61C" w14:textId="77777777" w:rsidR="00161F91" w:rsidRDefault="00000000">
            <w:pPr>
              <w:pStyle w:val="ExhibitTableBody"/>
              <w:jc w:val="center"/>
            </w:pPr>
            <w:r>
              <w:t>Reduces preferred core positions</w:t>
            </w:r>
          </w:p>
        </w:tc>
        <w:tc>
          <w:tcPr>
            <w:tcW w:w="1944" w:type="dxa"/>
            <w:shd w:val="clear" w:color="auto" w:fill="EEF3F8"/>
            <w:tcMar>
              <w:top w:w="70" w:type="dxa"/>
              <w:left w:w="90" w:type="dxa"/>
              <w:bottom w:w="70" w:type="dxa"/>
              <w:right w:w="90" w:type="dxa"/>
            </w:tcMar>
            <w:vAlign w:val="center"/>
          </w:tcPr>
          <w:p w14:paraId="5AEDDFDC" w14:textId="77777777" w:rsidR="00161F91" w:rsidRDefault="00000000">
            <w:pPr>
              <w:pStyle w:val="ExhibitTableBody"/>
              <w:jc w:val="center"/>
            </w:pPr>
            <w:r>
              <w:t>Same day</w:t>
            </w:r>
          </w:p>
        </w:tc>
      </w:tr>
      <w:tr w:rsidR="00161F91" w14:paraId="6477ECA2" w14:textId="77777777">
        <w:trPr>
          <w:jc w:val="center"/>
        </w:trPr>
        <w:tc>
          <w:tcPr>
            <w:tcW w:w="2376" w:type="dxa"/>
            <w:tcMar>
              <w:top w:w="70" w:type="dxa"/>
              <w:left w:w="90" w:type="dxa"/>
              <w:bottom w:w="70" w:type="dxa"/>
              <w:right w:w="90" w:type="dxa"/>
            </w:tcMar>
            <w:vAlign w:val="center"/>
          </w:tcPr>
          <w:p w14:paraId="2D80B464" w14:textId="77777777" w:rsidR="00161F91" w:rsidRDefault="00000000">
            <w:pPr>
              <w:pStyle w:val="ExhibitTableBody"/>
            </w:pPr>
            <w:r>
              <w:t>Sell lower-conviction holdings</w:t>
            </w:r>
          </w:p>
        </w:tc>
        <w:tc>
          <w:tcPr>
            <w:tcW w:w="2016" w:type="dxa"/>
            <w:tcMar>
              <w:top w:w="70" w:type="dxa"/>
              <w:left w:w="90" w:type="dxa"/>
              <w:bottom w:w="70" w:type="dxa"/>
              <w:right w:w="90" w:type="dxa"/>
            </w:tcMar>
            <w:vAlign w:val="center"/>
          </w:tcPr>
          <w:p w14:paraId="3D951EE5" w14:textId="77777777" w:rsidR="00161F91" w:rsidRDefault="00000000">
            <w:pPr>
              <w:pStyle w:val="ExhibitTableBody"/>
              <w:jc w:val="center"/>
            </w:pPr>
            <w:r>
              <w:t>$1.6M-$3.2M</w:t>
            </w:r>
          </w:p>
        </w:tc>
        <w:tc>
          <w:tcPr>
            <w:tcW w:w="3384" w:type="dxa"/>
            <w:tcMar>
              <w:top w:w="70" w:type="dxa"/>
              <w:left w:w="90" w:type="dxa"/>
              <w:bottom w:w="70" w:type="dxa"/>
              <w:right w:w="90" w:type="dxa"/>
            </w:tcMar>
            <w:vAlign w:val="center"/>
          </w:tcPr>
          <w:p w14:paraId="1CCF045F" w14:textId="77777777" w:rsidR="00161F91" w:rsidRDefault="00000000">
            <w:pPr>
              <w:pStyle w:val="ExhibitTableBody"/>
              <w:jc w:val="center"/>
            </w:pPr>
            <w:r>
              <w:t>May improve portfolio thesis</w:t>
            </w:r>
          </w:p>
        </w:tc>
        <w:tc>
          <w:tcPr>
            <w:tcW w:w="1944" w:type="dxa"/>
            <w:tcMar>
              <w:top w:w="70" w:type="dxa"/>
              <w:left w:w="90" w:type="dxa"/>
              <w:bottom w:w="70" w:type="dxa"/>
              <w:right w:w="90" w:type="dxa"/>
            </w:tcMar>
            <w:vAlign w:val="center"/>
          </w:tcPr>
          <w:p w14:paraId="4CE7676F" w14:textId="77777777" w:rsidR="00161F91" w:rsidRDefault="00000000">
            <w:pPr>
              <w:pStyle w:val="ExhibitTableBody"/>
              <w:jc w:val="center"/>
            </w:pPr>
            <w:r>
              <w:t>One to three days</w:t>
            </w:r>
          </w:p>
        </w:tc>
      </w:tr>
      <w:tr w:rsidR="00161F91" w14:paraId="5BD7C2ED" w14:textId="77777777">
        <w:trPr>
          <w:jc w:val="center"/>
        </w:trPr>
        <w:tc>
          <w:tcPr>
            <w:tcW w:w="2376" w:type="dxa"/>
            <w:shd w:val="clear" w:color="auto" w:fill="EEF3F8"/>
            <w:tcMar>
              <w:top w:w="70" w:type="dxa"/>
              <w:left w:w="90" w:type="dxa"/>
              <w:bottom w:w="70" w:type="dxa"/>
              <w:right w:w="90" w:type="dxa"/>
            </w:tcMar>
            <w:vAlign w:val="center"/>
          </w:tcPr>
          <w:p w14:paraId="67BDDE7D" w14:textId="77777777" w:rsidR="00161F91" w:rsidRDefault="00000000">
            <w:pPr>
              <w:pStyle w:val="ExhibitTableBody"/>
            </w:pPr>
            <w:r>
              <w:t>Draw bank credit facility</w:t>
            </w:r>
          </w:p>
        </w:tc>
        <w:tc>
          <w:tcPr>
            <w:tcW w:w="2016" w:type="dxa"/>
            <w:shd w:val="clear" w:color="auto" w:fill="EEF3F8"/>
            <w:tcMar>
              <w:top w:w="70" w:type="dxa"/>
              <w:left w:w="90" w:type="dxa"/>
              <w:bottom w:w="70" w:type="dxa"/>
              <w:right w:w="90" w:type="dxa"/>
            </w:tcMar>
            <w:vAlign w:val="center"/>
          </w:tcPr>
          <w:p w14:paraId="7A0D40DE" w14:textId="77777777" w:rsidR="00161F91" w:rsidRDefault="00000000">
            <w:pPr>
              <w:pStyle w:val="ExhibitTableBody"/>
              <w:jc w:val="center"/>
            </w:pPr>
            <w:r>
              <w:t>$1.1M monthly equivalent</w:t>
            </w:r>
          </w:p>
        </w:tc>
        <w:tc>
          <w:tcPr>
            <w:tcW w:w="3384" w:type="dxa"/>
            <w:shd w:val="clear" w:color="auto" w:fill="EEF3F8"/>
            <w:tcMar>
              <w:top w:w="70" w:type="dxa"/>
              <w:left w:w="90" w:type="dxa"/>
              <w:bottom w:w="70" w:type="dxa"/>
              <w:right w:w="90" w:type="dxa"/>
            </w:tcMar>
            <w:vAlign w:val="center"/>
          </w:tcPr>
          <w:p w14:paraId="697E6E38" w14:textId="77777777" w:rsidR="00161F91" w:rsidRDefault="00000000">
            <w:pPr>
              <w:pStyle w:val="ExhibitTableBody"/>
              <w:jc w:val="center"/>
            </w:pPr>
            <w:r>
              <w:t>Preserves holdings; adds leverage</w:t>
            </w:r>
          </w:p>
        </w:tc>
        <w:tc>
          <w:tcPr>
            <w:tcW w:w="1944" w:type="dxa"/>
            <w:shd w:val="clear" w:color="auto" w:fill="EEF3F8"/>
            <w:tcMar>
              <w:top w:w="70" w:type="dxa"/>
              <w:left w:w="90" w:type="dxa"/>
              <w:bottom w:w="70" w:type="dxa"/>
              <w:right w:w="90" w:type="dxa"/>
            </w:tcMar>
            <w:vAlign w:val="center"/>
          </w:tcPr>
          <w:p w14:paraId="32575800" w14:textId="77777777" w:rsidR="00161F91" w:rsidRDefault="00000000">
            <w:pPr>
              <w:pStyle w:val="ExhibitTableBody"/>
              <w:jc w:val="center"/>
            </w:pPr>
            <w:r>
              <w:t>Same day if available</w:t>
            </w:r>
          </w:p>
        </w:tc>
      </w:tr>
      <w:tr w:rsidR="00161F91" w14:paraId="2E73EE73" w14:textId="77777777">
        <w:trPr>
          <w:jc w:val="center"/>
        </w:trPr>
        <w:tc>
          <w:tcPr>
            <w:tcW w:w="2376" w:type="dxa"/>
            <w:tcMar>
              <w:top w:w="70" w:type="dxa"/>
              <w:left w:w="90" w:type="dxa"/>
              <w:bottom w:w="70" w:type="dxa"/>
              <w:right w:w="90" w:type="dxa"/>
            </w:tcMar>
            <w:vAlign w:val="center"/>
          </w:tcPr>
          <w:p w14:paraId="7F5DF082" w14:textId="77777777" w:rsidR="00161F91" w:rsidRDefault="00000000">
            <w:pPr>
              <w:pStyle w:val="ExhibitTableBody"/>
            </w:pPr>
            <w:r>
              <w:t>Use maturing Treasury bills</w:t>
            </w:r>
          </w:p>
        </w:tc>
        <w:tc>
          <w:tcPr>
            <w:tcW w:w="2016" w:type="dxa"/>
            <w:tcMar>
              <w:top w:w="70" w:type="dxa"/>
              <w:left w:w="90" w:type="dxa"/>
              <w:bottom w:w="70" w:type="dxa"/>
              <w:right w:w="90" w:type="dxa"/>
            </w:tcMar>
            <w:vAlign w:val="center"/>
          </w:tcPr>
          <w:p w14:paraId="51E0B971" w14:textId="77777777" w:rsidR="00161F91" w:rsidRDefault="00000000">
            <w:pPr>
              <w:pStyle w:val="ExhibitTableBody"/>
              <w:jc w:val="center"/>
            </w:pPr>
            <w:r>
              <w:t>Minimal</w:t>
            </w:r>
          </w:p>
        </w:tc>
        <w:tc>
          <w:tcPr>
            <w:tcW w:w="3384" w:type="dxa"/>
            <w:tcMar>
              <w:top w:w="70" w:type="dxa"/>
              <w:left w:w="90" w:type="dxa"/>
              <w:bottom w:w="70" w:type="dxa"/>
              <w:right w:w="90" w:type="dxa"/>
            </w:tcMar>
            <w:vAlign w:val="center"/>
          </w:tcPr>
          <w:p w14:paraId="3536F49A" w14:textId="77777777" w:rsidR="00161F91" w:rsidRDefault="00000000">
            <w:pPr>
              <w:pStyle w:val="ExhibitTableBody"/>
              <w:jc w:val="center"/>
            </w:pPr>
            <w:r>
              <w:t>Reduces liquidity buffer</w:t>
            </w:r>
          </w:p>
        </w:tc>
        <w:tc>
          <w:tcPr>
            <w:tcW w:w="1944" w:type="dxa"/>
            <w:tcMar>
              <w:top w:w="70" w:type="dxa"/>
              <w:left w:w="90" w:type="dxa"/>
              <w:bottom w:w="70" w:type="dxa"/>
              <w:right w:w="90" w:type="dxa"/>
            </w:tcMar>
            <w:vAlign w:val="center"/>
          </w:tcPr>
          <w:p w14:paraId="1852758A" w14:textId="77777777" w:rsidR="00161F91" w:rsidRDefault="00000000">
            <w:pPr>
              <w:pStyle w:val="ExhibitTableBody"/>
              <w:jc w:val="center"/>
            </w:pPr>
            <w:r>
              <w:t>$72M within five days</w:t>
            </w:r>
          </w:p>
        </w:tc>
      </w:tr>
      <w:tr w:rsidR="00161F91" w14:paraId="4A349AA5" w14:textId="77777777">
        <w:trPr>
          <w:jc w:val="center"/>
        </w:trPr>
        <w:tc>
          <w:tcPr>
            <w:tcW w:w="2376" w:type="dxa"/>
            <w:shd w:val="clear" w:color="auto" w:fill="EEF3F8"/>
            <w:tcMar>
              <w:top w:w="70" w:type="dxa"/>
              <w:left w:w="90" w:type="dxa"/>
              <w:bottom w:w="70" w:type="dxa"/>
              <w:right w:w="90" w:type="dxa"/>
            </w:tcMar>
            <w:vAlign w:val="center"/>
          </w:tcPr>
          <w:p w14:paraId="308F77E9" w14:textId="77777777" w:rsidR="00161F91" w:rsidRDefault="00000000">
            <w:pPr>
              <w:pStyle w:val="ExhibitTableBody"/>
            </w:pPr>
            <w:r>
              <w:t>Delay new purchases</w:t>
            </w:r>
          </w:p>
        </w:tc>
        <w:tc>
          <w:tcPr>
            <w:tcW w:w="2016" w:type="dxa"/>
            <w:shd w:val="clear" w:color="auto" w:fill="EEF3F8"/>
            <w:tcMar>
              <w:top w:w="70" w:type="dxa"/>
              <w:left w:w="90" w:type="dxa"/>
              <w:bottom w:w="70" w:type="dxa"/>
              <w:right w:w="90" w:type="dxa"/>
            </w:tcMar>
            <w:vAlign w:val="center"/>
          </w:tcPr>
          <w:p w14:paraId="0AF80016" w14:textId="77777777" w:rsidR="00161F91" w:rsidRDefault="00000000">
            <w:pPr>
              <w:pStyle w:val="ExhibitTableBody"/>
              <w:jc w:val="center"/>
            </w:pPr>
            <w:r>
              <w:t>Opportunity cost uncertain</w:t>
            </w:r>
          </w:p>
        </w:tc>
        <w:tc>
          <w:tcPr>
            <w:tcW w:w="3384" w:type="dxa"/>
            <w:shd w:val="clear" w:color="auto" w:fill="EEF3F8"/>
            <w:tcMar>
              <w:top w:w="70" w:type="dxa"/>
              <w:left w:w="90" w:type="dxa"/>
              <w:bottom w:w="70" w:type="dxa"/>
              <w:right w:w="90" w:type="dxa"/>
            </w:tcMar>
            <w:vAlign w:val="center"/>
          </w:tcPr>
          <w:p w14:paraId="672808AF" w14:textId="77777777" w:rsidR="00161F91" w:rsidRDefault="00000000">
            <w:pPr>
              <w:pStyle w:val="ExhibitTableBody"/>
              <w:jc w:val="center"/>
            </w:pPr>
            <w:r>
              <w:t>Cash rebuilds only if inflows arrive</w:t>
            </w:r>
          </w:p>
        </w:tc>
        <w:tc>
          <w:tcPr>
            <w:tcW w:w="1944" w:type="dxa"/>
            <w:shd w:val="clear" w:color="auto" w:fill="EEF3F8"/>
            <w:tcMar>
              <w:top w:w="70" w:type="dxa"/>
              <w:left w:w="90" w:type="dxa"/>
              <w:bottom w:w="70" w:type="dxa"/>
              <w:right w:w="90" w:type="dxa"/>
            </w:tcMar>
            <w:vAlign w:val="center"/>
          </w:tcPr>
          <w:p w14:paraId="05E2005D" w14:textId="77777777" w:rsidR="00161F91" w:rsidRDefault="00000000">
            <w:pPr>
              <w:pStyle w:val="ExhibitTableBody"/>
              <w:jc w:val="center"/>
            </w:pPr>
            <w:r>
              <w:t>Gradual</w:t>
            </w:r>
          </w:p>
        </w:tc>
      </w:tr>
    </w:tbl>
    <w:p w14:paraId="5F1D81E2" w14:textId="77777777" w:rsidR="00161F91" w:rsidRDefault="00000000">
      <w:pPr>
        <w:pStyle w:val="SourceNote"/>
      </w:pPr>
      <w:r>
        <w:t>Source: Summit Ridge trading and treasury estimates; fictional. Costs vary with market conditions.</w:t>
      </w:r>
    </w:p>
    <w:p w14:paraId="0A0CA20F" w14:textId="77777777" w:rsidR="00161F91" w:rsidRDefault="00161F91">
      <w:pPr>
        <w:pStyle w:val="CaseSpacer"/>
      </w:pPr>
    </w:p>
    <w:p w14:paraId="21B1BC98" w14:textId="77777777" w:rsidR="00161F91" w:rsidRDefault="00000000">
      <w:pPr>
        <w:pStyle w:val="Heading1"/>
      </w:pPr>
      <w:r>
        <w:t>The Cost of Too Much Cash</w:t>
      </w:r>
    </w:p>
    <w:p w14:paraId="3A9CCDF7" w14:textId="77777777" w:rsidR="00161F91" w:rsidRDefault="00000000">
      <w:r>
        <w:t>Cash was not free. During periods of high short-term interest rates, Treasury bills and money market instruments generated meaningful income. But the Select Equity Fund was marketed as an equity strategy, and its benchmark was nearly fully invested. If stocks rose faster than cash, a persistent cash position would create a performance drag. A three-percentage-point cash position would reduce annual return by roughly 0.30 percentage points when equities outperformed cash by 10 percentage points.</w:t>
      </w:r>
    </w:p>
    <w:p w14:paraId="2C963FCB" w14:textId="77777777" w:rsidR="00161F91" w:rsidRDefault="00000000">
      <w:r>
        <w:t>The effect seemed small until it was compared with competitors. Investment consultants often ranked managers by relatively narrow performance differences. An extra 0.30 percentage points could affect ratings, institutional searches, adviser recommendations, employee bonuses, and future inflows. Ironically, holding cash to protect against redemptions could contribute to underperformance that caused more investors to leave.</w:t>
      </w:r>
    </w:p>
    <w:p w14:paraId="1B1A1807" w14:textId="77777777" w:rsidR="00161F91" w:rsidRDefault="00000000">
      <w:r>
        <w:t>The portfolio team also faced the opposite problem after large inflows. Buying too quickly could push prices higher or force purchases before analysts had completed their work. Investing too slowly left the fund with unwanted cash. The team had to decide which securities to buy, how quickly to trade, and whether to use index futures as temporary exposure while research and execution caught up.</w:t>
      </w:r>
    </w:p>
    <w:p w14:paraId="163F51B5" w14:textId="77777777" w:rsidR="0084416C" w:rsidRDefault="0084416C">
      <w:pPr>
        <w:spacing w:after="200" w:line="276" w:lineRule="auto"/>
        <w:rPr>
          <w:rFonts w:asciiTheme="majorHAnsi" w:eastAsiaTheme="majorEastAsia" w:hAnsiTheme="majorHAnsi" w:cstheme="majorBidi"/>
          <w:b/>
          <w:bCs/>
          <w:color w:val="3C6E71"/>
          <w:sz w:val="23"/>
          <w:szCs w:val="26"/>
        </w:rPr>
      </w:pPr>
      <w:r>
        <w:br w:type="page"/>
      </w:r>
    </w:p>
    <w:p w14:paraId="531890BF" w14:textId="5F568BD5" w:rsidR="00161F91" w:rsidRDefault="00000000">
      <w:pPr>
        <w:pStyle w:val="Heading2"/>
      </w:pPr>
      <w:r>
        <w:lastRenderedPageBreak/>
        <w:t>Exhibit 4. Illustrative Annual Effect of Alternative Cash Levels</w:t>
      </w:r>
    </w:p>
    <w:tbl>
      <w:tblPr>
        <w:tblStyle w:val="TableGrid"/>
        <w:tblW w:w="0" w:type="auto"/>
        <w:jc w:val="center"/>
        <w:tblLook w:val="04A0" w:firstRow="1" w:lastRow="0" w:firstColumn="1" w:lastColumn="0" w:noHBand="0" w:noVBand="1"/>
      </w:tblPr>
      <w:tblGrid>
        <w:gridCol w:w="1944"/>
        <w:gridCol w:w="2952"/>
        <w:gridCol w:w="2448"/>
        <w:gridCol w:w="2592"/>
      </w:tblGrid>
      <w:tr w:rsidR="00161F91" w14:paraId="5DA84698" w14:textId="77777777">
        <w:trPr>
          <w:jc w:val="center"/>
        </w:trPr>
        <w:tc>
          <w:tcPr>
            <w:tcW w:w="1944" w:type="dxa"/>
            <w:shd w:val="clear" w:color="auto" w:fill="17365D"/>
            <w:tcMar>
              <w:top w:w="70" w:type="dxa"/>
              <w:left w:w="90" w:type="dxa"/>
              <w:bottom w:w="70" w:type="dxa"/>
              <w:right w:w="90" w:type="dxa"/>
            </w:tcMar>
            <w:vAlign w:val="center"/>
          </w:tcPr>
          <w:p w14:paraId="7075BECF" w14:textId="77777777" w:rsidR="00161F91" w:rsidRDefault="00000000">
            <w:pPr>
              <w:pStyle w:val="ExhibitTableHeader"/>
              <w:jc w:val="center"/>
            </w:pPr>
            <w:r>
              <w:t>Average cash level</w:t>
            </w:r>
          </w:p>
        </w:tc>
        <w:tc>
          <w:tcPr>
            <w:tcW w:w="2952" w:type="dxa"/>
            <w:shd w:val="clear" w:color="auto" w:fill="17365D"/>
            <w:tcMar>
              <w:top w:w="70" w:type="dxa"/>
              <w:left w:w="90" w:type="dxa"/>
              <w:bottom w:w="70" w:type="dxa"/>
              <w:right w:w="90" w:type="dxa"/>
            </w:tcMar>
            <w:vAlign w:val="center"/>
          </w:tcPr>
          <w:p w14:paraId="7025F9B7" w14:textId="77777777" w:rsidR="00161F91" w:rsidRDefault="00000000">
            <w:pPr>
              <w:pStyle w:val="ExhibitTableHeader"/>
              <w:jc w:val="center"/>
            </w:pPr>
            <w:r>
              <w:t>Equity outperformance over cash</w:t>
            </w:r>
          </w:p>
        </w:tc>
        <w:tc>
          <w:tcPr>
            <w:tcW w:w="2448" w:type="dxa"/>
            <w:shd w:val="clear" w:color="auto" w:fill="17365D"/>
            <w:tcMar>
              <w:top w:w="70" w:type="dxa"/>
              <w:left w:w="90" w:type="dxa"/>
              <w:bottom w:w="70" w:type="dxa"/>
              <w:right w:w="90" w:type="dxa"/>
            </w:tcMar>
            <w:vAlign w:val="center"/>
          </w:tcPr>
          <w:p w14:paraId="7BE9DEAF" w14:textId="77777777" w:rsidR="00161F91" w:rsidRDefault="00000000">
            <w:pPr>
              <w:pStyle w:val="ExhibitTableHeader"/>
              <w:jc w:val="center"/>
            </w:pPr>
            <w:r>
              <w:t>Estimated return drag</w:t>
            </w:r>
          </w:p>
        </w:tc>
        <w:tc>
          <w:tcPr>
            <w:tcW w:w="2592" w:type="dxa"/>
            <w:shd w:val="clear" w:color="auto" w:fill="17365D"/>
            <w:tcMar>
              <w:top w:w="70" w:type="dxa"/>
              <w:left w:w="90" w:type="dxa"/>
              <w:bottom w:w="70" w:type="dxa"/>
              <w:right w:w="90" w:type="dxa"/>
            </w:tcMar>
            <w:vAlign w:val="center"/>
          </w:tcPr>
          <w:p w14:paraId="5610CD7E" w14:textId="77777777" w:rsidR="00161F91" w:rsidRDefault="00000000">
            <w:pPr>
              <w:pStyle w:val="ExhibitTableHeader"/>
              <w:jc w:val="center"/>
            </w:pPr>
            <w:r>
              <w:t>Cash available on $8.5B fund</w:t>
            </w:r>
          </w:p>
        </w:tc>
      </w:tr>
      <w:tr w:rsidR="00161F91" w14:paraId="184CAFE7" w14:textId="77777777">
        <w:trPr>
          <w:jc w:val="center"/>
        </w:trPr>
        <w:tc>
          <w:tcPr>
            <w:tcW w:w="1944" w:type="dxa"/>
            <w:tcMar>
              <w:top w:w="70" w:type="dxa"/>
              <w:left w:w="90" w:type="dxa"/>
              <w:bottom w:w="70" w:type="dxa"/>
              <w:right w:w="90" w:type="dxa"/>
            </w:tcMar>
            <w:vAlign w:val="center"/>
          </w:tcPr>
          <w:p w14:paraId="1BA91DAC" w14:textId="77777777" w:rsidR="00161F91" w:rsidRDefault="00000000">
            <w:pPr>
              <w:pStyle w:val="ExhibitTableBody"/>
            </w:pPr>
            <w:r>
              <w:t>2%</w:t>
            </w:r>
          </w:p>
        </w:tc>
        <w:tc>
          <w:tcPr>
            <w:tcW w:w="2952" w:type="dxa"/>
            <w:tcMar>
              <w:top w:w="70" w:type="dxa"/>
              <w:left w:w="90" w:type="dxa"/>
              <w:bottom w:w="70" w:type="dxa"/>
              <w:right w:w="90" w:type="dxa"/>
            </w:tcMar>
            <w:vAlign w:val="center"/>
          </w:tcPr>
          <w:p w14:paraId="41E40AE7" w14:textId="77777777" w:rsidR="00161F91" w:rsidRDefault="00000000">
            <w:pPr>
              <w:pStyle w:val="ExhibitTableBody"/>
              <w:jc w:val="center"/>
            </w:pPr>
            <w:r>
              <w:t>4 percentage points</w:t>
            </w:r>
          </w:p>
        </w:tc>
        <w:tc>
          <w:tcPr>
            <w:tcW w:w="2448" w:type="dxa"/>
            <w:tcMar>
              <w:top w:w="70" w:type="dxa"/>
              <w:left w:w="90" w:type="dxa"/>
              <w:bottom w:w="70" w:type="dxa"/>
              <w:right w:w="90" w:type="dxa"/>
            </w:tcMar>
            <w:vAlign w:val="center"/>
          </w:tcPr>
          <w:p w14:paraId="64831B54" w14:textId="77777777" w:rsidR="00161F91" w:rsidRDefault="00000000">
            <w:pPr>
              <w:pStyle w:val="ExhibitTableBody"/>
              <w:jc w:val="center"/>
            </w:pPr>
            <w:r>
              <w:t>0.08 percentage points</w:t>
            </w:r>
          </w:p>
        </w:tc>
        <w:tc>
          <w:tcPr>
            <w:tcW w:w="2592" w:type="dxa"/>
            <w:tcMar>
              <w:top w:w="70" w:type="dxa"/>
              <w:left w:w="90" w:type="dxa"/>
              <w:bottom w:w="70" w:type="dxa"/>
              <w:right w:w="90" w:type="dxa"/>
            </w:tcMar>
            <w:vAlign w:val="center"/>
          </w:tcPr>
          <w:p w14:paraId="14BC566F" w14:textId="77777777" w:rsidR="00161F91" w:rsidRDefault="00000000">
            <w:pPr>
              <w:pStyle w:val="ExhibitTableBody"/>
              <w:jc w:val="center"/>
            </w:pPr>
            <w:r>
              <w:t>$170M</w:t>
            </w:r>
          </w:p>
        </w:tc>
      </w:tr>
      <w:tr w:rsidR="00161F91" w14:paraId="28ED57B5" w14:textId="77777777">
        <w:trPr>
          <w:jc w:val="center"/>
        </w:trPr>
        <w:tc>
          <w:tcPr>
            <w:tcW w:w="1944" w:type="dxa"/>
            <w:shd w:val="clear" w:color="auto" w:fill="EEF3F8"/>
            <w:tcMar>
              <w:top w:w="70" w:type="dxa"/>
              <w:left w:w="90" w:type="dxa"/>
              <w:bottom w:w="70" w:type="dxa"/>
              <w:right w:w="90" w:type="dxa"/>
            </w:tcMar>
            <w:vAlign w:val="center"/>
          </w:tcPr>
          <w:p w14:paraId="5104E0A6" w14:textId="77777777" w:rsidR="00161F91" w:rsidRDefault="00000000">
            <w:pPr>
              <w:pStyle w:val="ExhibitTableBody"/>
            </w:pPr>
            <w:r>
              <w:t>3%</w:t>
            </w:r>
          </w:p>
        </w:tc>
        <w:tc>
          <w:tcPr>
            <w:tcW w:w="2952" w:type="dxa"/>
            <w:shd w:val="clear" w:color="auto" w:fill="EEF3F8"/>
            <w:tcMar>
              <w:top w:w="70" w:type="dxa"/>
              <w:left w:w="90" w:type="dxa"/>
              <w:bottom w:w="70" w:type="dxa"/>
              <w:right w:w="90" w:type="dxa"/>
            </w:tcMar>
            <w:vAlign w:val="center"/>
          </w:tcPr>
          <w:p w14:paraId="432B0ED4" w14:textId="77777777" w:rsidR="00161F91" w:rsidRDefault="00000000">
            <w:pPr>
              <w:pStyle w:val="ExhibitTableBody"/>
              <w:jc w:val="center"/>
            </w:pPr>
            <w:r>
              <w:t>6 percentage points</w:t>
            </w:r>
          </w:p>
        </w:tc>
        <w:tc>
          <w:tcPr>
            <w:tcW w:w="2448" w:type="dxa"/>
            <w:shd w:val="clear" w:color="auto" w:fill="EEF3F8"/>
            <w:tcMar>
              <w:top w:w="70" w:type="dxa"/>
              <w:left w:w="90" w:type="dxa"/>
              <w:bottom w:w="70" w:type="dxa"/>
              <w:right w:w="90" w:type="dxa"/>
            </w:tcMar>
            <w:vAlign w:val="center"/>
          </w:tcPr>
          <w:p w14:paraId="65E4C2A4" w14:textId="77777777" w:rsidR="00161F91" w:rsidRDefault="00000000">
            <w:pPr>
              <w:pStyle w:val="ExhibitTableBody"/>
              <w:jc w:val="center"/>
            </w:pPr>
            <w:r>
              <w:t>0.18 percentage points</w:t>
            </w:r>
          </w:p>
        </w:tc>
        <w:tc>
          <w:tcPr>
            <w:tcW w:w="2592" w:type="dxa"/>
            <w:shd w:val="clear" w:color="auto" w:fill="EEF3F8"/>
            <w:tcMar>
              <w:top w:w="70" w:type="dxa"/>
              <w:left w:w="90" w:type="dxa"/>
              <w:bottom w:w="70" w:type="dxa"/>
              <w:right w:w="90" w:type="dxa"/>
            </w:tcMar>
            <w:vAlign w:val="center"/>
          </w:tcPr>
          <w:p w14:paraId="140BEF70" w14:textId="77777777" w:rsidR="00161F91" w:rsidRDefault="00000000">
            <w:pPr>
              <w:pStyle w:val="ExhibitTableBody"/>
              <w:jc w:val="center"/>
            </w:pPr>
            <w:r>
              <w:t>$255M</w:t>
            </w:r>
          </w:p>
        </w:tc>
      </w:tr>
      <w:tr w:rsidR="00161F91" w14:paraId="3D46E239" w14:textId="77777777">
        <w:trPr>
          <w:jc w:val="center"/>
        </w:trPr>
        <w:tc>
          <w:tcPr>
            <w:tcW w:w="1944" w:type="dxa"/>
            <w:tcMar>
              <w:top w:w="70" w:type="dxa"/>
              <w:left w:w="90" w:type="dxa"/>
              <w:bottom w:w="70" w:type="dxa"/>
              <w:right w:w="90" w:type="dxa"/>
            </w:tcMar>
            <w:vAlign w:val="center"/>
          </w:tcPr>
          <w:p w14:paraId="344A8130" w14:textId="77777777" w:rsidR="00161F91" w:rsidRDefault="00000000">
            <w:pPr>
              <w:pStyle w:val="ExhibitTableBody"/>
            </w:pPr>
            <w:r>
              <w:t>4%</w:t>
            </w:r>
          </w:p>
        </w:tc>
        <w:tc>
          <w:tcPr>
            <w:tcW w:w="2952" w:type="dxa"/>
            <w:tcMar>
              <w:top w:w="70" w:type="dxa"/>
              <w:left w:w="90" w:type="dxa"/>
              <w:bottom w:w="70" w:type="dxa"/>
              <w:right w:w="90" w:type="dxa"/>
            </w:tcMar>
            <w:vAlign w:val="center"/>
          </w:tcPr>
          <w:p w14:paraId="294ADE63" w14:textId="77777777" w:rsidR="00161F91" w:rsidRDefault="00000000">
            <w:pPr>
              <w:pStyle w:val="ExhibitTableBody"/>
              <w:jc w:val="center"/>
            </w:pPr>
            <w:r>
              <w:t>8 percentage points</w:t>
            </w:r>
          </w:p>
        </w:tc>
        <w:tc>
          <w:tcPr>
            <w:tcW w:w="2448" w:type="dxa"/>
            <w:tcMar>
              <w:top w:w="70" w:type="dxa"/>
              <w:left w:w="90" w:type="dxa"/>
              <w:bottom w:w="70" w:type="dxa"/>
              <w:right w:w="90" w:type="dxa"/>
            </w:tcMar>
            <w:vAlign w:val="center"/>
          </w:tcPr>
          <w:p w14:paraId="38424E89" w14:textId="77777777" w:rsidR="00161F91" w:rsidRDefault="00000000">
            <w:pPr>
              <w:pStyle w:val="ExhibitTableBody"/>
              <w:jc w:val="center"/>
            </w:pPr>
            <w:r>
              <w:t>0.32 percentage points</w:t>
            </w:r>
          </w:p>
        </w:tc>
        <w:tc>
          <w:tcPr>
            <w:tcW w:w="2592" w:type="dxa"/>
            <w:tcMar>
              <w:top w:w="70" w:type="dxa"/>
              <w:left w:w="90" w:type="dxa"/>
              <w:bottom w:w="70" w:type="dxa"/>
              <w:right w:w="90" w:type="dxa"/>
            </w:tcMar>
            <w:vAlign w:val="center"/>
          </w:tcPr>
          <w:p w14:paraId="62CBBE0D" w14:textId="77777777" w:rsidR="00161F91" w:rsidRDefault="00000000">
            <w:pPr>
              <w:pStyle w:val="ExhibitTableBody"/>
              <w:jc w:val="center"/>
            </w:pPr>
            <w:r>
              <w:t>$340M</w:t>
            </w:r>
          </w:p>
        </w:tc>
      </w:tr>
      <w:tr w:rsidR="00161F91" w14:paraId="63EB43C3" w14:textId="77777777">
        <w:trPr>
          <w:jc w:val="center"/>
        </w:trPr>
        <w:tc>
          <w:tcPr>
            <w:tcW w:w="1944" w:type="dxa"/>
            <w:shd w:val="clear" w:color="auto" w:fill="EEF3F8"/>
            <w:tcMar>
              <w:top w:w="70" w:type="dxa"/>
              <w:left w:w="90" w:type="dxa"/>
              <w:bottom w:w="70" w:type="dxa"/>
              <w:right w:w="90" w:type="dxa"/>
            </w:tcMar>
            <w:vAlign w:val="center"/>
          </w:tcPr>
          <w:p w14:paraId="636174F4" w14:textId="77777777" w:rsidR="00161F91" w:rsidRDefault="00000000">
            <w:pPr>
              <w:pStyle w:val="ExhibitTableBody"/>
            </w:pPr>
            <w:r>
              <w:t>5%</w:t>
            </w:r>
          </w:p>
        </w:tc>
        <w:tc>
          <w:tcPr>
            <w:tcW w:w="2952" w:type="dxa"/>
            <w:shd w:val="clear" w:color="auto" w:fill="EEF3F8"/>
            <w:tcMar>
              <w:top w:w="70" w:type="dxa"/>
              <w:left w:w="90" w:type="dxa"/>
              <w:bottom w:w="70" w:type="dxa"/>
              <w:right w:w="90" w:type="dxa"/>
            </w:tcMar>
            <w:vAlign w:val="center"/>
          </w:tcPr>
          <w:p w14:paraId="2CD0A316" w14:textId="77777777" w:rsidR="00161F91" w:rsidRDefault="00000000">
            <w:pPr>
              <w:pStyle w:val="ExhibitTableBody"/>
              <w:jc w:val="center"/>
            </w:pPr>
            <w:r>
              <w:t>10 percentage points</w:t>
            </w:r>
          </w:p>
        </w:tc>
        <w:tc>
          <w:tcPr>
            <w:tcW w:w="2448" w:type="dxa"/>
            <w:shd w:val="clear" w:color="auto" w:fill="EEF3F8"/>
            <w:tcMar>
              <w:top w:w="70" w:type="dxa"/>
              <w:left w:w="90" w:type="dxa"/>
              <w:bottom w:w="70" w:type="dxa"/>
              <w:right w:w="90" w:type="dxa"/>
            </w:tcMar>
            <w:vAlign w:val="center"/>
          </w:tcPr>
          <w:p w14:paraId="5B0D52CA" w14:textId="77777777" w:rsidR="00161F91" w:rsidRDefault="00000000">
            <w:pPr>
              <w:pStyle w:val="ExhibitTableBody"/>
              <w:jc w:val="center"/>
            </w:pPr>
            <w:r>
              <w:t>0.50 percentage points</w:t>
            </w:r>
          </w:p>
        </w:tc>
        <w:tc>
          <w:tcPr>
            <w:tcW w:w="2592" w:type="dxa"/>
            <w:shd w:val="clear" w:color="auto" w:fill="EEF3F8"/>
            <w:tcMar>
              <w:top w:w="70" w:type="dxa"/>
              <w:left w:w="90" w:type="dxa"/>
              <w:bottom w:w="70" w:type="dxa"/>
              <w:right w:w="90" w:type="dxa"/>
            </w:tcMar>
            <w:vAlign w:val="center"/>
          </w:tcPr>
          <w:p w14:paraId="292DFA62" w14:textId="77777777" w:rsidR="00161F91" w:rsidRDefault="00000000">
            <w:pPr>
              <w:pStyle w:val="ExhibitTableBody"/>
              <w:jc w:val="center"/>
            </w:pPr>
            <w:r>
              <w:t>$425M</w:t>
            </w:r>
          </w:p>
        </w:tc>
      </w:tr>
      <w:tr w:rsidR="00161F91" w14:paraId="2EFA022F" w14:textId="77777777">
        <w:trPr>
          <w:jc w:val="center"/>
        </w:trPr>
        <w:tc>
          <w:tcPr>
            <w:tcW w:w="1944" w:type="dxa"/>
            <w:tcMar>
              <w:top w:w="70" w:type="dxa"/>
              <w:left w:w="90" w:type="dxa"/>
              <w:bottom w:w="70" w:type="dxa"/>
              <w:right w:w="90" w:type="dxa"/>
            </w:tcMar>
            <w:vAlign w:val="center"/>
          </w:tcPr>
          <w:p w14:paraId="53937897" w14:textId="77777777" w:rsidR="00161F91" w:rsidRDefault="00000000">
            <w:pPr>
              <w:pStyle w:val="ExhibitTableBody"/>
            </w:pPr>
            <w:r>
              <w:t>7%</w:t>
            </w:r>
          </w:p>
        </w:tc>
        <w:tc>
          <w:tcPr>
            <w:tcW w:w="2952" w:type="dxa"/>
            <w:tcMar>
              <w:top w:w="70" w:type="dxa"/>
              <w:left w:w="90" w:type="dxa"/>
              <w:bottom w:w="70" w:type="dxa"/>
              <w:right w:w="90" w:type="dxa"/>
            </w:tcMar>
            <w:vAlign w:val="center"/>
          </w:tcPr>
          <w:p w14:paraId="5B861025" w14:textId="77777777" w:rsidR="00161F91" w:rsidRDefault="00000000">
            <w:pPr>
              <w:pStyle w:val="ExhibitTableBody"/>
              <w:jc w:val="center"/>
            </w:pPr>
            <w:r>
              <w:t>12 percentage points</w:t>
            </w:r>
          </w:p>
        </w:tc>
        <w:tc>
          <w:tcPr>
            <w:tcW w:w="2448" w:type="dxa"/>
            <w:tcMar>
              <w:top w:w="70" w:type="dxa"/>
              <w:left w:w="90" w:type="dxa"/>
              <w:bottom w:w="70" w:type="dxa"/>
              <w:right w:w="90" w:type="dxa"/>
            </w:tcMar>
            <w:vAlign w:val="center"/>
          </w:tcPr>
          <w:p w14:paraId="41264CBC" w14:textId="77777777" w:rsidR="00161F91" w:rsidRDefault="00000000">
            <w:pPr>
              <w:pStyle w:val="ExhibitTableBody"/>
              <w:jc w:val="center"/>
            </w:pPr>
            <w:r>
              <w:t>0.84 percentage points</w:t>
            </w:r>
          </w:p>
        </w:tc>
        <w:tc>
          <w:tcPr>
            <w:tcW w:w="2592" w:type="dxa"/>
            <w:tcMar>
              <w:top w:w="70" w:type="dxa"/>
              <w:left w:w="90" w:type="dxa"/>
              <w:bottom w:w="70" w:type="dxa"/>
              <w:right w:w="90" w:type="dxa"/>
            </w:tcMar>
            <w:vAlign w:val="center"/>
          </w:tcPr>
          <w:p w14:paraId="755A9459" w14:textId="77777777" w:rsidR="00161F91" w:rsidRDefault="00000000">
            <w:pPr>
              <w:pStyle w:val="ExhibitTableBody"/>
              <w:jc w:val="center"/>
            </w:pPr>
            <w:r>
              <w:t>$595M</w:t>
            </w:r>
          </w:p>
        </w:tc>
      </w:tr>
    </w:tbl>
    <w:p w14:paraId="4832959F" w14:textId="77777777" w:rsidR="00161F91" w:rsidRDefault="00000000">
      <w:pPr>
        <w:pStyle w:val="SourceNote"/>
      </w:pPr>
      <w:r>
        <w:t>Source: Illustrative calculations. Actual results depend on market returns, interest rates, and timing.</w:t>
      </w:r>
    </w:p>
    <w:p w14:paraId="57A2D8B7" w14:textId="77777777" w:rsidR="00161F91" w:rsidRDefault="00161F91">
      <w:pPr>
        <w:pStyle w:val="CaseSpacer"/>
      </w:pPr>
    </w:p>
    <w:p w14:paraId="1D60CA29" w14:textId="77777777" w:rsidR="00161F91" w:rsidRDefault="00000000">
      <w:pPr>
        <w:pStyle w:val="Heading1"/>
      </w:pPr>
      <w:r>
        <w:t>Forecasts and Early Warnings</w:t>
      </w:r>
    </w:p>
    <w:p w14:paraId="25384D08" w14:textId="77777777" w:rsidR="00161F91" w:rsidRDefault="00000000">
      <w:r>
        <w:t>Summit Ridge’s treasury team produced daily flow forecasts using historical investor behavior, intermediary reports, month-end retirement contributions, tax dates, market movements, and known institutional activity. The model performed reasonably during normal markets, but its largest errors occurred during the periods when cash was most valuable. A forecast designed around average daily behavior could not reliably anticipate a pension plan changing managers or a consultant placing the fund on a watch list.</w:t>
      </w:r>
    </w:p>
    <w:p w14:paraId="7BEFDFFA" w14:textId="77777777" w:rsidR="00161F91" w:rsidRDefault="00000000">
      <w:r>
        <w:t>Chief data officer Nina Shah proposed obtaining more timely information from distribution platforms and asking institutional clients for nonbinding advance indications of large movements. Some platforms could provide intraday estimates, but they charged fees and covered only part of the fund. Institutions were reluctant to reveal intentions that might affect how their trades were handled. The compliance team warned against giving favored clients information or treatment that could disadvantage other shareholders.</w:t>
      </w:r>
    </w:p>
    <w:p w14:paraId="3C70833D" w14:textId="77777777" w:rsidR="00161F91" w:rsidRDefault="00000000">
      <w:r>
        <w:t>Chief financial officer Aaron Bell proposed a formal liquidity reserve tied to recent flow volatility and the liquidity of the portfolio. Hale objected that a fixed rule would hold excessive cash in calm markets and still be inadequate during a genuine run. He preferred manager judgment, supported by scenario analysis and a credit line. The independent fund directors wanted a process they could understand, oversee, and defend after the fact.</w:t>
      </w:r>
    </w:p>
    <w:p w14:paraId="43679A18" w14:textId="77777777" w:rsidR="00161F91" w:rsidRDefault="00000000">
      <w:pPr>
        <w:pStyle w:val="Heading2"/>
      </w:pPr>
      <w:r>
        <w:t>Exhibit 5. Management Alternatives</w:t>
      </w:r>
    </w:p>
    <w:tbl>
      <w:tblPr>
        <w:tblStyle w:val="TableGrid"/>
        <w:tblW w:w="0" w:type="auto"/>
        <w:jc w:val="center"/>
        <w:tblLook w:val="04A0" w:firstRow="1" w:lastRow="0" w:firstColumn="1" w:lastColumn="0" w:noHBand="0" w:noVBand="1"/>
      </w:tblPr>
      <w:tblGrid>
        <w:gridCol w:w="3024"/>
        <w:gridCol w:w="3312"/>
        <w:gridCol w:w="3672"/>
      </w:tblGrid>
      <w:tr w:rsidR="00161F91" w14:paraId="379408A9" w14:textId="77777777">
        <w:trPr>
          <w:jc w:val="center"/>
        </w:trPr>
        <w:tc>
          <w:tcPr>
            <w:tcW w:w="3024" w:type="dxa"/>
            <w:shd w:val="clear" w:color="auto" w:fill="17365D"/>
            <w:tcMar>
              <w:top w:w="70" w:type="dxa"/>
              <w:left w:w="90" w:type="dxa"/>
              <w:bottom w:w="70" w:type="dxa"/>
              <w:right w:w="90" w:type="dxa"/>
            </w:tcMar>
            <w:vAlign w:val="center"/>
          </w:tcPr>
          <w:p w14:paraId="788F69E0" w14:textId="77777777" w:rsidR="00161F91" w:rsidRDefault="00000000">
            <w:pPr>
              <w:pStyle w:val="ExhibitTableHeader"/>
              <w:jc w:val="center"/>
            </w:pPr>
            <w:r>
              <w:t>Alternative</w:t>
            </w:r>
          </w:p>
        </w:tc>
        <w:tc>
          <w:tcPr>
            <w:tcW w:w="3312" w:type="dxa"/>
            <w:shd w:val="clear" w:color="auto" w:fill="17365D"/>
            <w:tcMar>
              <w:top w:w="70" w:type="dxa"/>
              <w:left w:w="90" w:type="dxa"/>
              <w:bottom w:w="70" w:type="dxa"/>
              <w:right w:w="90" w:type="dxa"/>
            </w:tcMar>
            <w:vAlign w:val="center"/>
          </w:tcPr>
          <w:p w14:paraId="30DDAA71" w14:textId="77777777" w:rsidR="00161F91" w:rsidRDefault="00000000">
            <w:pPr>
              <w:pStyle w:val="ExhibitTableHeader"/>
              <w:jc w:val="center"/>
            </w:pPr>
            <w:r>
              <w:t>Potential advantage</w:t>
            </w:r>
          </w:p>
        </w:tc>
        <w:tc>
          <w:tcPr>
            <w:tcW w:w="3672" w:type="dxa"/>
            <w:shd w:val="clear" w:color="auto" w:fill="17365D"/>
            <w:tcMar>
              <w:top w:w="70" w:type="dxa"/>
              <w:left w:w="90" w:type="dxa"/>
              <w:bottom w:w="70" w:type="dxa"/>
              <w:right w:w="90" w:type="dxa"/>
            </w:tcMar>
            <w:vAlign w:val="center"/>
          </w:tcPr>
          <w:p w14:paraId="42E07277" w14:textId="77777777" w:rsidR="00161F91" w:rsidRDefault="00000000">
            <w:pPr>
              <w:pStyle w:val="ExhibitTableHeader"/>
              <w:jc w:val="center"/>
            </w:pPr>
            <w:r>
              <w:t>Principal risk or tradeoff</w:t>
            </w:r>
          </w:p>
        </w:tc>
      </w:tr>
      <w:tr w:rsidR="00161F91" w14:paraId="45FAC695" w14:textId="77777777">
        <w:trPr>
          <w:jc w:val="center"/>
        </w:trPr>
        <w:tc>
          <w:tcPr>
            <w:tcW w:w="3024" w:type="dxa"/>
            <w:tcMar>
              <w:top w:w="70" w:type="dxa"/>
              <w:left w:w="90" w:type="dxa"/>
              <w:bottom w:w="70" w:type="dxa"/>
              <w:right w:w="90" w:type="dxa"/>
            </w:tcMar>
            <w:vAlign w:val="center"/>
          </w:tcPr>
          <w:p w14:paraId="451D1589" w14:textId="77777777" w:rsidR="00161F91" w:rsidRDefault="00000000">
            <w:pPr>
              <w:pStyle w:val="ExhibitTableBody"/>
            </w:pPr>
            <w:r>
              <w:t>Raise target cash from 3% to 5%</w:t>
            </w:r>
          </w:p>
        </w:tc>
        <w:tc>
          <w:tcPr>
            <w:tcW w:w="3312" w:type="dxa"/>
            <w:tcMar>
              <w:top w:w="70" w:type="dxa"/>
              <w:left w:w="90" w:type="dxa"/>
              <w:bottom w:w="70" w:type="dxa"/>
              <w:right w:w="90" w:type="dxa"/>
            </w:tcMar>
            <w:vAlign w:val="center"/>
          </w:tcPr>
          <w:p w14:paraId="07CFEFF5" w14:textId="77777777" w:rsidR="00161F91" w:rsidRDefault="00000000">
            <w:pPr>
              <w:pStyle w:val="ExhibitTableBody"/>
              <w:jc w:val="center"/>
            </w:pPr>
            <w:r>
              <w:t>More protection from sudden withdrawals</w:t>
            </w:r>
          </w:p>
        </w:tc>
        <w:tc>
          <w:tcPr>
            <w:tcW w:w="3672" w:type="dxa"/>
            <w:tcMar>
              <w:top w:w="70" w:type="dxa"/>
              <w:left w:w="90" w:type="dxa"/>
              <w:bottom w:w="70" w:type="dxa"/>
              <w:right w:w="90" w:type="dxa"/>
            </w:tcMar>
            <w:vAlign w:val="center"/>
          </w:tcPr>
          <w:p w14:paraId="4F352C8C" w14:textId="77777777" w:rsidR="00161F91" w:rsidRDefault="00000000">
            <w:pPr>
              <w:pStyle w:val="ExhibitTableBody"/>
              <w:jc w:val="center"/>
            </w:pPr>
            <w:r>
              <w:t>Persistent performance drag</w:t>
            </w:r>
          </w:p>
        </w:tc>
      </w:tr>
      <w:tr w:rsidR="00161F91" w14:paraId="651F2305" w14:textId="77777777">
        <w:trPr>
          <w:jc w:val="center"/>
        </w:trPr>
        <w:tc>
          <w:tcPr>
            <w:tcW w:w="3024" w:type="dxa"/>
            <w:shd w:val="clear" w:color="auto" w:fill="EEF3F8"/>
            <w:tcMar>
              <w:top w:w="70" w:type="dxa"/>
              <w:left w:w="90" w:type="dxa"/>
              <w:bottom w:w="70" w:type="dxa"/>
              <w:right w:w="90" w:type="dxa"/>
            </w:tcMar>
            <w:vAlign w:val="center"/>
          </w:tcPr>
          <w:p w14:paraId="40A12629" w14:textId="77777777" w:rsidR="00161F91" w:rsidRDefault="00000000">
            <w:pPr>
              <w:pStyle w:val="ExhibitTableBody"/>
            </w:pPr>
            <w:r>
              <w:t>Maintain 3% cash plus credit facility</w:t>
            </w:r>
          </w:p>
        </w:tc>
        <w:tc>
          <w:tcPr>
            <w:tcW w:w="3312" w:type="dxa"/>
            <w:shd w:val="clear" w:color="auto" w:fill="EEF3F8"/>
            <w:tcMar>
              <w:top w:w="70" w:type="dxa"/>
              <w:left w:w="90" w:type="dxa"/>
              <w:bottom w:w="70" w:type="dxa"/>
              <w:right w:w="90" w:type="dxa"/>
            </w:tcMar>
            <w:vAlign w:val="center"/>
          </w:tcPr>
          <w:p w14:paraId="0141B92E" w14:textId="77777777" w:rsidR="00161F91" w:rsidRDefault="00000000">
            <w:pPr>
              <w:pStyle w:val="ExhibitTableBody"/>
              <w:jc w:val="center"/>
            </w:pPr>
            <w:r>
              <w:t>Liquidity without permanent cash</w:t>
            </w:r>
          </w:p>
        </w:tc>
        <w:tc>
          <w:tcPr>
            <w:tcW w:w="3672" w:type="dxa"/>
            <w:shd w:val="clear" w:color="auto" w:fill="EEF3F8"/>
            <w:tcMar>
              <w:top w:w="70" w:type="dxa"/>
              <w:left w:w="90" w:type="dxa"/>
              <w:bottom w:w="70" w:type="dxa"/>
              <w:right w:w="90" w:type="dxa"/>
            </w:tcMar>
            <w:vAlign w:val="center"/>
          </w:tcPr>
          <w:p w14:paraId="5169DBB9" w14:textId="77777777" w:rsidR="00161F91" w:rsidRDefault="00000000">
            <w:pPr>
              <w:pStyle w:val="ExhibitTableBody"/>
              <w:jc w:val="center"/>
            </w:pPr>
            <w:r>
              <w:t>Borrowing cost and market-stress availability</w:t>
            </w:r>
          </w:p>
        </w:tc>
      </w:tr>
      <w:tr w:rsidR="00161F91" w14:paraId="6BBBAD42" w14:textId="77777777">
        <w:trPr>
          <w:jc w:val="center"/>
        </w:trPr>
        <w:tc>
          <w:tcPr>
            <w:tcW w:w="3024" w:type="dxa"/>
            <w:tcMar>
              <w:top w:w="70" w:type="dxa"/>
              <w:left w:w="90" w:type="dxa"/>
              <w:bottom w:w="70" w:type="dxa"/>
              <w:right w:w="90" w:type="dxa"/>
            </w:tcMar>
            <w:vAlign w:val="center"/>
          </w:tcPr>
          <w:p w14:paraId="768F61D0" w14:textId="77777777" w:rsidR="00161F91" w:rsidRDefault="00000000">
            <w:pPr>
              <w:pStyle w:val="ExhibitTableBody"/>
            </w:pPr>
            <w:r>
              <w:t>Use dynamic cash target</w:t>
            </w:r>
          </w:p>
        </w:tc>
        <w:tc>
          <w:tcPr>
            <w:tcW w:w="3312" w:type="dxa"/>
            <w:tcMar>
              <w:top w:w="70" w:type="dxa"/>
              <w:left w:w="90" w:type="dxa"/>
              <w:bottom w:w="70" w:type="dxa"/>
              <w:right w:w="90" w:type="dxa"/>
            </w:tcMar>
            <w:vAlign w:val="center"/>
          </w:tcPr>
          <w:p w14:paraId="75A85116" w14:textId="77777777" w:rsidR="00161F91" w:rsidRDefault="00000000">
            <w:pPr>
              <w:pStyle w:val="ExhibitTableBody"/>
              <w:jc w:val="center"/>
            </w:pPr>
            <w:r>
              <w:t>Responds to flows and market conditions</w:t>
            </w:r>
          </w:p>
        </w:tc>
        <w:tc>
          <w:tcPr>
            <w:tcW w:w="3672" w:type="dxa"/>
            <w:tcMar>
              <w:top w:w="70" w:type="dxa"/>
              <w:left w:w="90" w:type="dxa"/>
              <w:bottom w:w="70" w:type="dxa"/>
              <w:right w:w="90" w:type="dxa"/>
            </w:tcMar>
            <w:vAlign w:val="center"/>
          </w:tcPr>
          <w:p w14:paraId="553BA1D1" w14:textId="77777777" w:rsidR="00161F91" w:rsidRDefault="00000000">
            <w:pPr>
              <w:pStyle w:val="ExhibitTableBody"/>
              <w:jc w:val="center"/>
            </w:pPr>
            <w:r>
              <w:t>Model error and frequent trading</w:t>
            </w:r>
          </w:p>
        </w:tc>
      </w:tr>
      <w:tr w:rsidR="00161F91" w14:paraId="5A2F40A2" w14:textId="77777777">
        <w:trPr>
          <w:jc w:val="center"/>
        </w:trPr>
        <w:tc>
          <w:tcPr>
            <w:tcW w:w="3024" w:type="dxa"/>
            <w:shd w:val="clear" w:color="auto" w:fill="EEF3F8"/>
            <w:tcMar>
              <w:top w:w="70" w:type="dxa"/>
              <w:left w:w="90" w:type="dxa"/>
              <w:bottom w:w="70" w:type="dxa"/>
              <w:right w:w="90" w:type="dxa"/>
            </w:tcMar>
            <w:vAlign w:val="center"/>
          </w:tcPr>
          <w:p w14:paraId="19F2B11E" w14:textId="77777777" w:rsidR="00161F91" w:rsidRDefault="00000000">
            <w:pPr>
              <w:pStyle w:val="ExhibitTableBody"/>
            </w:pPr>
            <w:r>
              <w:t>Hold larger Treasury-bill ladder</w:t>
            </w:r>
          </w:p>
        </w:tc>
        <w:tc>
          <w:tcPr>
            <w:tcW w:w="3312" w:type="dxa"/>
            <w:shd w:val="clear" w:color="auto" w:fill="EEF3F8"/>
            <w:tcMar>
              <w:top w:w="70" w:type="dxa"/>
              <w:left w:w="90" w:type="dxa"/>
              <w:bottom w:w="70" w:type="dxa"/>
              <w:right w:w="90" w:type="dxa"/>
            </w:tcMar>
            <w:vAlign w:val="center"/>
          </w:tcPr>
          <w:p w14:paraId="0E81945C" w14:textId="77777777" w:rsidR="00161F91" w:rsidRDefault="00000000">
            <w:pPr>
              <w:pStyle w:val="ExhibitTableBody"/>
              <w:jc w:val="center"/>
            </w:pPr>
            <w:r>
              <w:t>Predictable maturities and income</w:t>
            </w:r>
          </w:p>
        </w:tc>
        <w:tc>
          <w:tcPr>
            <w:tcW w:w="3672" w:type="dxa"/>
            <w:shd w:val="clear" w:color="auto" w:fill="EEF3F8"/>
            <w:tcMar>
              <w:top w:w="70" w:type="dxa"/>
              <w:left w:w="90" w:type="dxa"/>
              <w:bottom w:w="70" w:type="dxa"/>
              <w:right w:w="90" w:type="dxa"/>
            </w:tcMar>
            <w:vAlign w:val="center"/>
          </w:tcPr>
          <w:p w14:paraId="1C253357" w14:textId="77777777" w:rsidR="00161F91" w:rsidRDefault="00000000">
            <w:pPr>
              <w:pStyle w:val="ExhibitTableBody"/>
              <w:jc w:val="center"/>
            </w:pPr>
            <w:r>
              <w:t>May not match same-day redemptions</w:t>
            </w:r>
          </w:p>
        </w:tc>
      </w:tr>
      <w:tr w:rsidR="00161F91" w14:paraId="1988A405" w14:textId="77777777">
        <w:trPr>
          <w:jc w:val="center"/>
        </w:trPr>
        <w:tc>
          <w:tcPr>
            <w:tcW w:w="3024" w:type="dxa"/>
            <w:tcMar>
              <w:top w:w="70" w:type="dxa"/>
              <w:left w:w="90" w:type="dxa"/>
              <w:bottom w:w="70" w:type="dxa"/>
              <w:right w:w="90" w:type="dxa"/>
            </w:tcMar>
            <w:vAlign w:val="center"/>
          </w:tcPr>
          <w:p w14:paraId="61CF713F" w14:textId="77777777" w:rsidR="00161F91" w:rsidRDefault="00000000">
            <w:pPr>
              <w:pStyle w:val="ExhibitTableBody"/>
            </w:pPr>
            <w:r>
              <w:t>Increase use of index futures</w:t>
            </w:r>
          </w:p>
        </w:tc>
        <w:tc>
          <w:tcPr>
            <w:tcW w:w="3312" w:type="dxa"/>
            <w:tcMar>
              <w:top w:w="70" w:type="dxa"/>
              <w:left w:w="90" w:type="dxa"/>
              <w:bottom w:w="70" w:type="dxa"/>
              <w:right w:w="90" w:type="dxa"/>
            </w:tcMar>
            <w:vAlign w:val="center"/>
          </w:tcPr>
          <w:p w14:paraId="6E387B64" w14:textId="77777777" w:rsidR="00161F91" w:rsidRDefault="00000000">
            <w:pPr>
              <w:pStyle w:val="ExhibitTableBody"/>
              <w:jc w:val="center"/>
            </w:pPr>
            <w:r>
              <w:t>Keeps market exposure while holding cash</w:t>
            </w:r>
          </w:p>
        </w:tc>
        <w:tc>
          <w:tcPr>
            <w:tcW w:w="3672" w:type="dxa"/>
            <w:tcMar>
              <w:top w:w="70" w:type="dxa"/>
              <w:left w:w="90" w:type="dxa"/>
              <w:bottom w:w="70" w:type="dxa"/>
              <w:right w:w="90" w:type="dxa"/>
            </w:tcMar>
            <w:vAlign w:val="center"/>
          </w:tcPr>
          <w:p w14:paraId="07E28EB0" w14:textId="77777777" w:rsidR="00161F91" w:rsidRDefault="00000000">
            <w:pPr>
              <w:pStyle w:val="ExhibitTableBody"/>
              <w:jc w:val="center"/>
            </w:pPr>
            <w:r>
              <w:t>Basis, margin, and counterparty risks</w:t>
            </w:r>
          </w:p>
        </w:tc>
      </w:tr>
      <w:tr w:rsidR="00161F91" w14:paraId="6A13B1AB" w14:textId="77777777">
        <w:trPr>
          <w:jc w:val="center"/>
        </w:trPr>
        <w:tc>
          <w:tcPr>
            <w:tcW w:w="3024" w:type="dxa"/>
            <w:shd w:val="clear" w:color="auto" w:fill="EEF3F8"/>
            <w:tcMar>
              <w:top w:w="70" w:type="dxa"/>
              <w:left w:w="90" w:type="dxa"/>
              <w:bottom w:w="70" w:type="dxa"/>
              <w:right w:w="90" w:type="dxa"/>
            </w:tcMar>
            <w:vAlign w:val="center"/>
          </w:tcPr>
          <w:p w14:paraId="2A09227E" w14:textId="77777777" w:rsidR="00161F91" w:rsidRDefault="00000000">
            <w:pPr>
              <w:pStyle w:val="ExhibitTableBody"/>
            </w:pPr>
            <w:r>
              <w:t>Seek better investor-flow information</w:t>
            </w:r>
          </w:p>
        </w:tc>
        <w:tc>
          <w:tcPr>
            <w:tcW w:w="3312" w:type="dxa"/>
            <w:shd w:val="clear" w:color="auto" w:fill="EEF3F8"/>
            <w:tcMar>
              <w:top w:w="70" w:type="dxa"/>
              <w:left w:w="90" w:type="dxa"/>
              <w:bottom w:w="70" w:type="dxa"/>
              <w:right w:w="90" w:type="dxa"/>
            </w:tcMar>
            <w:vAlign w:val="center"/>
          </w:tcPr>
          <w:p w14:paraId="3B7D0AF9" w14:textId="77777777" w:rsidR="00161F91" w:rsidRDefault="00000000">
            <w:pPr>
              <w:pStyle w:val="ExhibitTableBody"/>
              <w:jc w:val="center"/>
            </w:pPr>
            <w:r>
              <w:t>May reduce forecast error</w:t>
            </w:r>
          </w:p>
        </w:tc>
        <w:tc>
          <w:tcPr>
            <w:tcW w:w="3672" w:type="dxa"/>
            <w:shd w:val="clear" w:color="auto" w:fill="EEF3F8"/>
            <w:tcMar>
              <w:top w:w="70" w:type="dxa"/>
              <w:left w:w="90" w:type="dxa"/>
              <w:bottom w:w="70" w:type="dxa"/>
              <w:right w:w="90" w:type="dxa"/>
            </w:tcMar>
            <w:vAlign w:val="center"/>
          </w:tcPr>
          <w:p w14:paraId="471ACC12" w14:textId="77777777" w:rsidR="00161F91" w:rsidRDefault="00000000">
            <w:pPr>
              <w:pStyle w:val="ExhibitTableBody"/>
              <w:jc w:val="center"/>
            </w:pPr>
            <w:r>
              <w:t>Cost, incomplete coverage, client resistance</w:t>
            </w:r>
          </w:p>
        </w:tc>
      </w:tr>
      <w:tr w:rsidR="00161F91" w14:paraId="2DA81EA5" w14:textId="77777777">
        <w:trPr>
          <w:jc w:val="center"/>
        </w:trPr>
        <w:tc>
          <w:tcPr>
            <w:tcW w:w="3024" w:type="dxa"/>
            <w:tcMar>
              <w:top w:w="70" w:type="dxa"/>
              <w:left w:w="90" w:type="dxa"/>
              <w:bottom w:w="70" w:type="dxa"/>
              <w:right w:w="90" w:type="dxa"/>
            </w:tcMar>
            <w:vAlign w:val="center"/>
          </w:tcPr>
          <w:p w14:paraId="1093D2E0" w14:textId="77777777" w:rsidR="00161F91" w:rsidRDefault="00000000">
            <w:pPr>
              <w:pStyle w:val="ExhibitTableBody"/>
            </w:pPr>
            <w:r>
              <w:t>Redesign portfolio toward liquidity</w:t>
            </w:r>
          </w:p>
        </w:tc>
        <w:tc>
          <w:tcPr>
            <w:tcW w:w="3312" w:type="dxa"/>
            <w:tcMar>
              <w:top w:w="70" w:type="dxa"/>
              <w:left w:w="90" w:type="dxa"/>
              <w:bottom w:w="70" w:type="dxa"/>
              <w:right w:w="90" w:type="dxa"/>
            </w:tcMar>
            <w:vAlign w:val="center"/>
          </w:tcPr>
          <w:p w14:paraId="120DA87B" w14:textId="77777777" w:rsidR="00161F91" w:rsidRDefault="00000000">
            <w:pPr>
              <w:pStyle w:val="ExhibitTableBody"/>
              <w:jc w:val="center"/>
            </w:pPr>
            <w:r>
              <w:t>Lower cost of forced sales</w:t>
            </w:r>
          </w:p>
        </w:tc>
        <w:tc>
          <w:tcPr>
            <w:tcW w:w="3672" w:type="dxa"/>
            <w:tcMar>
              <w:top w:w="70" w:type="dxa"/>
              <w:left w:w="90" w:type="dxa"/>
              <w:bottom w:w="70" w:type="dxa"/>
              <w:right w:w="90" w:type="dxa"/>
            </w:tcMar>
            <w:vAlign w:val="center"/>
          </w:tcPr>
          <w:p w14:paraId="310526A4" w14:textId="77777777" w:rsidR="00161F91" w:rsidRDefault="00000000">
            <w:pPr>
              <w:pStyle w:val="ExhibitTableBody"/>
              <w:jc w:val="center"/>
            </w:pPr>
            <w:r>
              <w:t>May constrain investment strategy</w:t>
            </w:r>
          </w:p>
        </w:tc>
      </w:tr>
    </w:tbl>
    <w:p w14:paraId="25AC7B35" w14:textId="77777777" w:rsidR="00161F91" w:rsidRDefault="00000000">
      <w:pPr>
        <w:pStyle w:val="SourceNote"/>
      </w:pPr>
      <w:r>
        <w:t>Source: Summit Ridge management proposals; fictional.</w:t>
      </w:r>
    </w:p>
    <w:p w14:paraId="64FF5CDE" w14:textId="77777777" w:rsidR="00161F91" w:rsidRDefault="00161F91">
      <w:pPr>
        <w:pStyle w:val="CaseSpacer"/>
      </w:pPr>
    </w:p>
    <w:p w14:paraId="339AAED4" w14:textId="77777777" w:rsidR="00161F91" w:rsidRDefault="00000000">
      <w:pPr>
        <w:pStyle w:val="Heading1"/>
      </w:pPr>
      <w:r>
        <w:t>Monday at 8:30</w:t>
      </w:r>
    </w:p>
    <w:p w14:paraId="5031D05C" w14:textId="77777777" w:rsidR="00161F91" w:rsidRDefault="00000000">
      <w:r>
        <w:t xml:space="preserve">By 8:20 a.m., the transfer agent increased the estimated redemption total to $347 million. One institutional client had confirmed a $178 million withdrawal. A second had requested settlement information but had not formally submitted its order. Retail flows were negative, although the estimate was still unstable. The fund’s </w:t>
      </w:r>
      <w:r>
        <w:lastRenderedPageBreak/>
        <w:t>bank confirmed that a $250 million committed credit line remained available, subject to borrowing costs and collateral requirements.</w:t>
      </w:r>
    </w:p>
    <w:p w14:paraId="22132EFE" w14:textId="77777777" w:rsidR="00161F91" w:rsidRDefault="00000000">
      <w:r>
        <w:t>Marquez had to authorize the opening plan before markets began trading. She could use most of the fund’s cash, begin selling liquid core holdings, sell lower-conviction positions, borrow against the credit facility, or combine these actions. She also had to decide whether to raise additional cash beyond the known redemptions in anticipation of further withdrawals. Every choice depended on events that would unfold after the decision was made.</w:t>
      </w:r>
    </w:p>
    <w:p w14:paraId="54FE8A62" w14:textId="77777777" w:rsidR="00161F91" w:rsidRDefault="00000000">
      <w:r>
        <w:t>The larger question would remain after Monday. Summit Ridge needed a repeatable process for ordinary inflows, unexpected institutional redemptions, market shocks, and periods of sustained withdrawals. Yet a process that protected the fund during a crisis could weaken performance in normal markets, alter the investment strategy, or shift trading costs among shareholders entering and leaving at different times.</w:t>
      </w:r>
    </w:p>
    <w:p w14:paraId="440FAFB6" w14:textId="77777777" w:rsidR="00161F91" w:rsidRDefault="00000000">
      <w:r>
        <w:t>At 8:28 a.m., futures fell another half percentage point. Marquez looked at the cash dashboard, the trading list, and the message from the second institution. The market would open in two minutes.</w:t>
      </w:r>
    </w:p>
    <w:p w14:paraId="5183B0E3" w14:textId="77777777" w:rsidR="00505EE2" w:rsidRDefault="00505EE2" w:rsidP="00505EE2">
      <w:pPr>
        <w:pStyle w:val="Heading1"/>
      </w:pPr>
      <w:r>
        <w:t>Framing questions</w:t>
      </w:r>
    </w:p>
    <w:p w14:paraId="4425D2FD" w14:textId="77777777" w:rsidR="00505EE2" w:rsidRDefault="00505EE2" w:rsidP="00505EE2">
      <w:pPr>
        <w:pStyle w:val="ListParagraph"/>
        <w:numPr>
          <w:ilvl w:val="0"/>
          <w:numId w:val="10"/>
        </w:numPr>
      </w:pPr>
      <w:r>
        <w:t xml:space="preserve">Identify the different metrics that can be used to evaluate every aspect of the performance of the system?  Organize these into a pyramid to indicate </w:t>
      </w:r>
      <w:proofErr w:type="gramStart"/>
      <w:r>
        <w:t>the relative</w:t>
      </w:r>
      <w:proofErr w:type="gramEnd"/>
      <w:r>
        <w:t xml:space="preserve"> importance, following the style given here.</w:t>
      </w:r>
    </w:p>
    <w:p w14:paraId="7A1BFFE2" w14:textId="77777777" w:rsidR="00505EE2" w:rsidRDefault="00505EE2" w:rsidP="00505EE2">
      <w:pPr>
        <w:pStyle w:val="ListParagraph"/>
        <w:numPr>
          <w:ilvl w:val="0"/>
          <w:numId w:val="10"/>
        </w:numPr>
      </w:pPr>
      <w:r>
        <w:t xml:space="preserve">What are the types of decisions? Use the </w:t>
      </w:r>
      <w:hyperlink r:id="rId8" w:anchor="types-of-decision-settings" w:history="1">
        <w:r w:rsidRPr="00B20FB6">
          <w:rPr>
            <w:rStyle w:val="Hyperlink"/>
          </w:rPr>
          <w:t>list of decision types here as a guide</w:t>
        </w:r>
      </w:hyperlink>
      <w:r>
        <w:t xml:space="preserve">, illustrated by the </w:t>
      </w:r>
      <w:hyperlink r:id="rId9" w:anchor="from-apps-to-types" w:history="1">
        <w:r w:rsidRPr="00B20FB6">
          <w:rPr>
            <w:rStyle w:val="Hyperlink"/>
          </w:rPr>
          <w:t>applications here</w:t>
        </w:r>
      </w:hyperlink>
      <w:r>
        <w:t xml:space="preserve">.  </w:t>
      </w:r>
    </w:p>
    <w:p w14:paraId="1F348859" w14:textId="77777777" w:rsidR="00505EE2" w:rsidRDefault="00505EE2" w:rsidP="00505EE2">
      <w:pPr>
        <w:pStyle w:val="ListParagraph"/>
        <w:numPr>
          <w:ilvl w:val="0"/>
          <w:numId w:val="10"/>
        </w:numPr>
      </w:pPr>
      <w:r>
        <w:t xml:space="preserve">Use the </w:t>
      </w:r>
      <w:hyperlink r:id="rId10" w:history="1">
        <w:r w:rsidRPr="00B20FB6">
          <w:rPr>
            <w:rStyle w:val="Hyperlink"/>
          </w:rPr>
          <w:t>interactive framing matrix here</w:t>
        </w:r>
      </w:hyperlink>
      <w:r>
        <w:t xml:space="preserve"> to fill out the performance metrics along the top (from most to least important) followed by the list of decisions (in any order).  Use your judgment to assess whether the impact of each decision on each metric is H (high impact), M (medium), L (low) or N (none).  Finally, use the resulting matrix to rank the decisions in terms of their impact on the most important metrics.</w:t>
      </w:r>
    </w:p>
    <w:p w14:paraId="3D5F92ED" w14:textId="77777777" w:rsidR="00505EE2" w:rsidRDefault="00505EE2" w:rsidP="00505EE2">
      <w:pPr>
        <w:pStyle w:val="ListParagraph"/>
        <w:numPr>
          <w:ilvl w:val="0"/>
          <w:numId w:val="10"/>
        </w:numPr>
      </w:pPr>
      <w:r>
        <w:t xml:space="preserve">What are the different sources of uncertainty?  Use the </w:t>
      </w:r>
      <w:hyperlink r:id="rId11" w:anchor="categories" w:history="1">
        <w:r w:rsidRPr="00B20FB6">
          <w:rPr>
            <w:rStyle w:val="Hyperlink"/>
          </w:rPr>
          <w:t>12 categories of uncertainty here as a guide</w:t>
        </w:r>
      </w:hyperlink>
      <w:r>
        <w:t>.</w:t>
      </w:r>
    </w:p>
    <w:p w14:paraId="16946AB6" w14:textId="77777777" w:rsidR="00505EE2" w:rsidRDefault="00505EE2" w:rsidP="00505EE2">
      <w:pPr>
        <w:pStyle w:val="ListParagraph"/>
        <w:numPr>
          <w:ilvl w:val="0"/>
          <w:numId w:val="10"/>
        </w:numPr>
      </w:pPr>
      <w:r>
        <w:t>Repeat the exercise in (3), but this time using uncertainties instead of decisions.</w:t>
      </w:r>
    </w:p>
    <w:p w14:paraId="56CE8F13" w14:textId="77777777" w:rsidR="00505EE2" w:rsidRDefault="00505EE2" w:rsidP="00505EE2">
      <w:pPr>
        <w:pStyle w:val="ListParagraph"/>
        <w:numPr>
          <w:ilvl w:val="1"/>
          <w:numId w:val="10"/>
        </w:numPr>
      </w:pPr>
      <w:r>
        <w:t>Which sources of uncertainty would be captured using average performance over time?</w:t>
      </w:r>
    </w:p>
    <w:p w14:paraId="4D53A644" w14:textId="77777777" w:rsidR="00505EE2" w:rsidRDefault="00505EE2" w:rsidP="00505EE2">
      <w:pPr>
        <w:pStyle w:val="ListParagraph"/>
        <w:numPr>
          <w:ilvl w:val="1"/>
          <w:numId w:val="10"/>
        </w:numPr>
      </w:pPr>
      <w:r>
        <w:t>Which sources of uncertainty represent forms of risk that are not properly captured using averages?</w:t>
      </w:r>
    </w:p>
    <w:p w14:paraId="1D1E5ACB" w14:textId="77777777" w:rsidR="00505EE2" w:rsidRDefault="00505EE2" w:rsidP="00505EE2">
      <w:pPr>
        <w:pStyle w:val="ListParagraph"/>
        <w:numPr>
          <w:ilvl w:val="0"/>
          <w:numId w:val="10"/>
        </w:numPr>
      </w:pPr>
      <w:r>
        <w:t xml:space="preserve">Choose the single decision that seems to have the highest impact on the most important metric.  </w:t>
      </w:r>
    </w:p>
    <w:p w14:paraId="308DDA4A" w14:textId="77777777" w:rsidR="00505EE2" w:rsidRDefault="00505EE2" w:rsidP="00505EE2">
      <w:pPr>
        <w:pStyle w:val="ListParagraph"/>
        <w:numPr>
          <w:ilvl w:val="1"/>
          <w:numId w:val="10"/>
        </w:numPr>
      </w:pPr>
      <w:r>
        <w:t>What approach do you think you would use to make this decision?</w:t>
      </w:r>
    </w:p>
    <w:p w14:paraId="4CFC19BB" w14:textId="77777777" w:rsidR="00505EE2" w:rsidRDefault="00505EE2" w:rsidP="00505EE2">
      <w:pPr>
        <w:pStyle w:val="ListParagraph"/>
        <w:numPr>
          <w:ilvl w:val="1"/>
          <w:numId w:val="10"/>
        </w:numPr>
      </w:pPr>
      <w:r>
        <w:t>What data appears to be necessary to make this decision, including the calculation of any performance metrics where the decision would have a high or medium impact.</w:t>
      </w:r>
    </w:p>
    <w:p w14:paraId="7E73F465" w14:textId="77777777" w:rsidR="00505EE2" w:rsidRDefault="00505EE2" w:rsidP="00505EE2">
      <w:pPr>
        <w:pStyle w:val="ListParagraph"/>
        <w:numPr>
          <w:ilvl w:val="0"/>
          <w:numId w:val="10"/>
        </w:numPr>
      </w:pPr>
      <w:r>
        <w:t xml:space="preserve">Using the same </w:t>
      </w:r>
      <w:proofErr w:type="gramStart"/>
      <w:r>
        <w:t>decision</w:t>
      </w:r>
      <w:proofErr w:type="gramEnd"/>
      <w:r>
        <w:t xml:space="preserve"> you identified in (6), identify the people, departments, groups or organizations that you would need to work with to implement the decision?</w:t>
      </w:r>
    </w:p>
    <w:p w14:paraId="28D4B85A" w14:textId="77777777" w:rsidR="00161F91" w:rsidRDefault="00000000">
      <w:pPr>
        <w:pStyle w:val="Heading1"/>
      </w:pPr>
      <w:r>
        <w:t>Discussion Questions</w:t>
      </w:r>
    </w:p>
    <w:p w14:paraId="03B1295E" w14:textId="77777777" w:rsidR="00161F91" w:rsidRPr="00505EE2" w:rsidRDefault="00000000" w:rsidP="005055FB">
      <w:pPr>
        <w:pStyle w:val="DiscussionQuestion"/>
        <w:numPr>
          <w:ilvl w:val="0"/>
          <w:numId w:val="11"/>
        </w:numPr>
        <w:rPr>
          <w:sz w:val="22"/>
        </w:rPr>
      </w:pPr>
      <w:r w:rsidRPr="00505EE2">
        <w:rPr>
          <w:sz w:val="22"/>
        </w:rPr>
        <w:t>What is the central problem facing Marquez on Monday morning?</w:t>
      </w:r>
    </w:p>
    <w:p w14:paraId="3E8CB85E" w14:textId="77777777" w:rsidR="00161F91" w:rsidRPr="00505EE2" w:rsidRDefault="00000000" w:rsidP="005055FB">
      <w:pPr>
        <w:pStyle w:val="DiscussionQuestion"/>
        <w:numPr>
          <w:ilvl w:val="0"/>
          <w:numId w:val="11"/>
        </w:numPr>
        <w:rPr>
          <w:sz w:val="22"/>
        </w:rPr>
      </w:pPr>
      <w:r w:rsidRPr="00505EE2">
        <w:rPr>
          <w:sz w:val="22"/>
        </w:rPr>
        <w:t>How much weight should Summit Ridge place on known redemptions versus possible additional withdrawals?</w:t>
      </w:r>
    </w:p>
    <w:p w14:paraId="3789B0FC" w14:textId="77777777" w:rsidR="00161F91" w:rsidRPr="00505EE2" w:rsidRDefault="00000000" w:rsidP="005055FB">
      <w:pPr>
        <w:pStyle w:val="DiscussionQuestion"/>
        <w:numPr>
          <w:ilvl w:val="0"/>
          <w:numId w:val="11"/>
        </w:numPr>
        <w:rPr>
          <w:sz w:val="22"/>
        </w:rPr>
      </w:pPr>
      <w:r w:rsidRPr="00505EE2">
        <w:rPr>
          <w:sz w:val="22"/>
        </w:rPr>
        <w:t>What are the consequences of holding too little cash? What are the consequences of holding too much?</w:t>
      </w:r>
    </w:p>
    <w:p w14:paraId="38578E49" w14:textId="77777777" w:rsidR="00161F91" w:rsidRPr="00505EE2" w:rsidRDefault="00000000" w:rsidP="005055FB">
      <w:pPr>
        <w:pStyle w:val="DiscussionQuestion"/>
        <w:numPr>
          <w:ilvl w:val="0"/>
          <w:numId w:val="11"/>
        </w:numPr>
        <w:rPr>
          <w:sz w:val="22"/>
        </w:rPr>
      </w:pPr>
      <w:r w:rsidRPr="00505EE2">
        <w:rPr>
          <w:sz w:val="22"/>
        </w:rPr>
        <w:t>Which securities should the fund sell first when it must raise cash?</w:t>
      </w:r>
    </w:p>
    <w:p w14:paraId="11FA5F17" w14:textId="77777777" w:rsidR="00161F91" w:rsidRPr="00505EE2" w:rsidRDefault="00000000" w:rsidP="005055FB">
      <w:pPr>
        <w:pStyle w:val="DiscussionQuestion"/>
        <w:numPr>
          <w:ilvl w:val="0"/>
          <w:numId w:val="11"/>
        </w:numPr>
        <w:rPr>
          <w:sz w:val="22"/>
        </w:rPr>
      </w:pPr>
      <w:r w:rsidRPr="00505EE2">
        <w:rPr>
          <w:sz w:val="22"/>
        </w:rPr>
        <w:t>When, if ever, should the fund use its credit facility rather than sell portfolio holdings?</w:t>
      </w:r>
    </w:p>
    <w:p w14:paraId="4D1E9D4B" w14:textId="77777777" w:rsidR="00161F91" w:rsidRPr="00505EE2" w:rsidRDefault="00000000" w:rsidP="005055FB">
      <w:pPr>
        <w:pStyle w:val="DiscussionQuestion"/>
        <w:numPr>
          <w:ilvl w:val="0"/>
          <w:numId w:val="11"/>
        </w:numPr>
        <w:rPr>
          <w:sz w:val="22"/>
        </w:rPr>
      </w:pPr>
      <w:r w:rsidRPr="00505EE2">
        <w:rPr>
          <w:sz w:val="22"/>
        </w:rPr>
        <w:t>How should differences between retail and institutional investors influence cash planning?</w:t>
      </w:r>
    </w:p>
    <w:p w14:paraId="2A8518F8" w14:textId="77777777" w:rsidR="00161F91" w:rsidRPr="00505EE2" w:rsidRDefault="00000000" w:rsidP="005055FB">
      <w:pPr>
        <w:pStyle w:val="DiscussionQuestion"/>
        <w:numPr>
          <w:ilvl w:val="0"/>
          <w:numId w:val="11"/>
        </w:numPr>
        <w:rPr>
          <w:sz w:val="22"/>
        </w:rPr>
      </w:pPr>
      <w:r w:rsidRPr="00505EE2">
        <w:rPr>
          <w:sz w:val="22"/>
        </w:rPr>
        <w:t>What information would most improve Summit Ridge’s ability to anticipate investor flows?</w:t>
      </w:r>
    </w:p>
    <w:p w14:paraId="4F1BA9F3" w14:textId="77777777" w:rsidR="00161F91" w:rsidRPr="00505EE2" w:rsidRDefault="00000000" w:rsidP="005055FB">
      <w:pPr>
        <w:pStyle w:val="DiscussionQuestion"/>
        <w:numPr>
          <w:ilvl w:val="0"/>
          <w:numId w:val="11"/>
        </w:numPr>
        <w:rPr>
          <w:sz w:val="22"/>
        </w:rPr>
      </w:pPr>
      <w:r w:rsidRPr="00505EE2">
        <w:rPr>
          <w:sz w:val="22"/>
        </w:rPr>
        <w:t>Would a fixed cash target, a dynamic rule, or manager judgment provide the strongest process?</w:t>
      </w:r>
    </w:p>
    <w:p w14:paraId="7353B088" w14:textId="77777777" w:rsidR="00161F91" w:rsidRPr="00505EE2" w:rsidRDefault="00000000" w:rsidP="005055FB">
      <w:pPr>
        <w:pStyle w:val="DiscussionQuestion"/>
        <w:numPr>
          <w:ilvl w:val="0"/>
          <w:numId w:val="11"/>
        </w:numPr>
        <w:rPr>
          <w:sz w:val="22"/>
        </w:rPr>
      </w:pPr>
      <w:r w:rsidRPr="00505EE2">
        <w:rPr>
          <w:sz w:val="22"/>
        </w:rPr>
        <w:lastRenderedPageBreak/>
        <w:t>How should the fund account for market conditions and interest rates when setting its liquidity position?</w:t>
      </w:r>
    </w:p>
    <w:p w14:paraId="6CA848C4" w14:textId="77777777" w:rsidR="00161F91" w:rsidRPr="00505EE2" w:rsidRDefault="00000000" w:rsidP="005055FB">
      <w:pPr>
        <w:pStyle w:val="DiscussionQuestion"/>
        <w:numPr>
          <w:ilvl w:val="0"/>
          <w:numId w:val="11"/>
        </w:numPr>
        <w:rPr>
          <w:sz w:val="22"/>
        </w:rPr>
      </w:pPr>
      <w:r w:rsidRPr="00505EE2">
        <w:rPr>
          <w:sz w:val="22"/>
        </w:rPr>
        <w:t>How should Summit Ridge evaluate whether its cash-management process is protecting remaining shareholders fairly?</w:t>
      </w:r>
    </w:p>
    <w:p w14:paraId="0A28E92A" w14:textId="094D96FB" w:rsidR="0084416C" w:rsidRDefault="0084416C" w:rsidP="0084416C">
      <w:pPr>
        <w:pStyle w:val="Heading1"/>
      </w:pPr>
      <w:r>
        <w:t>ChatGPT notes</w:t>
      </w:r>
    </w:p>
    <w:p w14:paraId="72638D2B" w14:textId="1640960E" w:rsidR="0084416C" w:rsidRDefault="0084416C" w:rsidP="0084416C">
      <w:pPr>
        <w:pStyle w:val="Heading2"/>
      </w:pPr>
      <w:r>
        <w:t>Prompt</w:t>
      </w:r>
    </w:p>
    <w:p w14:paraId="35CACAA1" w14:textId="7BDFE4D3" w:rsidR="0084416C" w:rsidRDefault="0084416C" w:rsidP="0084416C">
      <w:r w:rsidRPr="0084416C">
        <w:t xml:space="preserve">Write a </w:t>
      </w:r>
      <w:proofErr w:type="gramStart"/>
      <w:r w:rsidRPr="0084416C">
        <w:t>4-6 page</w:t>
      </w:r>
      <w:proofErr w:type="gramEnd"/>
      <w:r w:rsidRPr="0084416C">
        <w:t xml:space="preserve"> case study based on the material in the section at https://warrenpowell.org/bridging-vol1/chapter-2/#mutual-fund-cash-management. Create a context based on the metrics, decisions and uncertainties in the section, but without explicitly calling attention to them. motivate your case problem with data.</w:t>
      </w:r>
    </w:p>
    <w:p w14:paraId="1BB74E71" w14:textId="52A1F67A" w:rsidR="0084416C" w:rsidRDefault="0084416C" w:rsidP="0084416C">
      <w:pPr>
        <w:pStyle w:val="Heading2"/>
      </w:pPr>
      <w:r>
        <w:t>Summary</w:t>
      </w:r>
    </w:p>
    <w:p w14:paraId="13F122A7" w14:textId="6C212ABF" w:rsidR="0084416C" w:rsidRDefault="0084416C" w:rsidP="0084416C">
      <w:r w:rsidRPr="0084416C">
        <w:t>The case presents a fictional equity mutual fund facing a large institutional redemption after a weekend market shock. Management must decide how much cash to retain, whether to borrow or sell securities, which holdings to trade, and how to prepare for additional withdrawals without creating a persistent drag on investment performance.</w:t>
      </w:r>
    </w:p>
    <w:p w14:paraId="40E4B854" w14:textId="7A0AF9B2" w:rsidR="0084416C" w:rsidRPr="0084416C" w:rsidRDefault="0084416C" w:rsidP="0084416C">
      <w:r w:rsidRPr="0084416C">
        <w:t xml:space="preserve">The setting draws on the specified mutual-fund cash-management section, including the tension between holding excess cash and being forced to liquidate investments when redemptions arrive. It is motivated by industry data showing approximately </w:t>
      </w:r>
      <w:r w:rsidRPr="0084416C">
        <w:rPr>
          <w:b/>
          <w:bCs/>
        </w:rPr>
        <w:t>$25.3 trillion</w:t>
      </w:r>
      <w:r w:rsidRPr="0084416C">
        <w:t xml:space="preserve"> in long-term U.S. mutual-fund assets in May 2026, estimated weekly mutual-fund outflows of </w:t>
      </w:r>
      <w:r w:rsidRPr="0084416C">
        <w:rPr>
          <w:b/>
          <w:bCs/>
        </w:rPr>
        <w:t>$15.43 billion</w:t>
      </w:r>
      <w:r w:rsidRPr="0084416C">
        <w:t xml:space="preserve"> in July 2026, and money-market assets exceeding </w:t>
      </w:r>
      <w:r w:rsidRPr="0084416C">
        <w:rPr>
          <w:b/>
          <w:bCs/>
        </w:rPr>
        <w:t>$7 trillion</w:t>
      </w:r>
      <w:r w:rsidRPr="0084416C">
        <w:t xml:space="preserve"> in March 2025.</w:t>
      </w:r>
    </w:p>
    <w:sectPr w:rsidR="0084416C" w:rsidRPr="0084416C" w:rsidSect="00034616">
      <w:headerReference w:type="default" r:id="rId12"/>
      <w:footerReference w:type="default" r:id="rId13"/>
      <w:pgSz w:w="12240" w:h="15840"/>
      <w:pgMar w:top="792" w:right="979" w:bottom="792" w:left="979"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8342A" w14:textId="77777777" w:rsidR="00C31933" w:rsidRDefault="00C31933">
      <w:pPr>
        <w:spacing w:after="0" w:line="240" w:lineRule="auto"/>
      </w:pPr>
      <w:r>
        <w:separator/>
      </w:r>
    </w:p>
  </w:endnote>
  <w:endnote w:type="continuationSeparator" w:id="0">
    <w:p w14:paraId="6E1645A9" w14:textId="77777777" w:rsidR="00C31933" w:rsidRDefault="00C31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6679D" w14:textId="77777777" w:rsidR="00161F91" w:rsidRDefault="00000000">
    <w:pPr>
      <w:pStyle w:val="CaseFooter"/>
      <w:spacing w:after="0"/>
      <w:jc w:val="center"/>
    </w:pPr>
    <w:r>
      <w:t xml:space="preserve">Instructional </w:t>
    </w:r>
    <w:proofErr w:type="gramStart"/>
    <w:r>
      <w:t>case  •</w:t>
    </w:r>
    <w:proofErr w:type="gramEnd"/>
    <w:r>
      <w:t xml:space="preserve">  </w:t>
    </w:r>
    <w:r>
      <w:fldChar w:fldCharType="begin"/>
    </w:r>
    <w:r>
      <w:instrText xml:space="preserve"> PAGE </w:instrText>
    </w:r>
    <w:r>
      <w:fldChar w:fldCharType="separate"/>
    </w:r>
    <w:r w:rsidR="0084416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DF99B" w14:textId="77777777" w:rsidR="00C31933" w:rsidRDefault="00C31933">
      <w:pPr>
        <w:spacing w:after="0" w:line="240" w:lineRule="auto"/>
      </w:pPr>
      <w:r>
        <w:separator/>
      </w:r>
    </w:p>
  </w:footnote>
  <w:footnote w:type="continuationSeparator" w:id="0">
    <w:p w14:paraId="2CB7F8C2" w14:textId="77777777" w:rsidR="00C31933" w:rsidRDefault="00C319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7C647" w14:textId="77777777" w:rsidR="00161F91" w:rsidRDefault="00000000">
    <w:pPr>
      <w:pStyle w:val="CaseHeader"/>
      <w:spacing w:after="0"/>
      <w:jc w:val="right"/>
    </w:pPr>
    <w:r>
      <w:t xml:space="preserve">SUMMIT RIDGE ASSET </w:t>
    </w:r>
    <w:proofErr w:type="gramStart"/>
    <w:r>
      <w:t>MANAGEMENT  |</w:t>
    </w:r>
    <w:proofErr w:type="gramEnd"/>
    <w:r>
      <w:t xml:space="preserve">  THE MONDAY MORNING CASH DECISION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1B76F84"/>
    <w:multiLevelType w:val="hybridMultilevel"/>
    <w:tmpl w:val="010CA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524492"/>
    <w:multiLevelType w:val="hybridMultilevel"/>
    <w:tmpl w:val="B2E8E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06971">
    <w:abstractNumId w:val="8"/>
  </w:num>
  <w:num w:numId="2" w16cid:durableId="254897003">
    <w:abstractNumId w:val="6"/>
  </w:num>
  <w:num w:numId="3" w16cid:durableId="1159926764">
    <w:abstractNumId w:val="5"/>
  </w:num>
  <w:num w:numId="4" w16cid:durableId="1409301255">
    <w:abstractNumId w:val="4"/>
  </w:num>
  <w:num w:numId="5" w16cid:durableId="367531522">
    <w:abstractNumId w:val="7"/>
  </w:num>
  <w:num w:numId="6" w16cid:durableId="1321811796">
    <w:abstractNumId w:val="3"/>
  </w:num>
  <w:num w:numId="7" w16cid:durableId="1994337560">
    <w:abstractNumId w:val="2"/>
  </w:num>
  <w:num w:numId="8" w16cid:durableId="1961453676">
    <w:abstractNumId w:val="1"/>
  </w:num>
  <w:num w:numId="9" w16cid:durableId="397167999">
    <w:abstractNumId w:val="0"/>
  </w:num>
  <w:num w:numId="10" w16cid:durableId="1268582022">
    <w:abstractNumId w:val="9"/>
  </w:num>
  <w:num w:numId="11" w16cid:durableId="11330622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1F91"/>
    <w:rsid w:val="0029639D"/>
    <w:rsid w:val="00326F90"/>
    <w:rsid w:val="005055FB"/>
    <w:rsid w:val="00505EE2"/>
    <w:rsid w:val="0084416C"/>
    <w:rsid w:val="008852B7"/>
    <w:rsid w:val="00AA1D8D"/>
    <w:rsid w:val="00B47730"/>
    <w:rsid w:val="00C31933"/>
    <w:rsid w:val="00CB0664"/>
    <w:rsid w:val="00D8165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3CF832"/>
  <w14:defaultImageDpi w14:val="300"/>
  <w15:docId w15:val="{77E058F0-7536-495E-9E29-E8761B0C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693F"/>
    <w:pPr>
      <w:spacing w:after="80" w:line="247" w:lineRule="auto"/>
    </w:pPr>
    <w:rPr>
      <w:rFonts w:ascii="Aptos" w:eastAsia="Aptos" w:hAnsi="Aptos"/>
    </w:rPr>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b/>
      <w:bCs/>
      <w:color w:val="284B63"/>
      <w:sz w:val="30"/>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color w:val="3C6E7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seTitle">
    <w:name w:val="Case Title"/>
    <w:basedOn w:val="Normal"/>
    <w:rPr>
      <w:rFonts w:ascii="Aptos Display" w:eastAsia="Aptos Display" w:hAnsi="Aptos Display"/>
      <w:b/>
      <w:color w:val="284B63"/>
      <w:sz w:val="48"/>
    </w:rPr>
  </w:style>
  <w:style w:type="paragraph" w:customStyle="1" w:styleId="CaseSubtitle">
    <w:name w:val="Case Subtitle"/>
    <w:basedOn w:val="Normal"/>
    <w:rPr>
      <w:rFonts w:ascii="Aptos Display" w:eastAsia="Aptos Display" w:hAnsi="Aptos Display"/>
      <w:b/>
      <w:color w:val="3C6E71"/>
      <w:sz w:val="36"/>
    </w:rPr>
  </w:style>
  <w:style w:type="paragraph" w:customStyle="1" w:styleId="CaseDeck">
    <w:name w:val="Case Deck"/>
    <w:basedOn w:val="Normal"/>
    <w:rPr>
      <w:i/>
      <w:sz w:val="21"/>
    </w:rPr>
  </w:style>
  <w:style w:type="paragraph" w:customStyle="1" w:styleId="CaseDisclaimer">
    <w:name w:val="Case Disclaimer"/>
    <w:basedOn w:val="Normal"/>
    <w:rPr>
      <w:color w:val="646464"/>
      <w:sz w:val="16"/>
    </w:rPr>
  </w:style>
  <w:style w:type="paragraph" w:customStyle="1" w:styleId="DiscussionQuestion">
    <w:name w:val="Discussion Question"/>
    <w:basedOn w:val="Normal"/>
    <w:rPr>
      <w:sz w:val="18"/>
    </w:rPr>
  </w:style>
  <w:style w:type="paragraph" w:customStyle="1" w:styleId="SourceNoteText">
    <w:name w:val="Source Note Text"/>
    <w:basedOn w:val="Normal"/>
    <w:rPr>
      <w:sz w:val="18"/>
    </w:rPr>
  </w:style>
  <w:style w:type="paragraph" w:customStyle="1" w:styleId="CaseCallout">
    <w:name w:val="Case Callout"/>
    <w:basedOn w:val="Normal"/>
  </w:style>
  <w:style w:type="paragraph" w:customStyle="1" w:styleId="ExhibitTableHeader">
    <w:name w:val="Exhibit Table Header"/>
    <w:basedOn w:val="Normal"/>
    <w:rPr>
      <w:b/>
      <w:color w:val="FFFFFF"/>
      <w:sz w:val="15"/>
    </w:rPr>
  </w:style>
  <w:style w:type="paragraph" w:customStyle="1" w:styleId="ExhibitTableBody">
    <w:name w:val="Exhibit Table Body"/>
    <w:basedOn w:val="Normal"/>
    <w:rPr>
      <w:sz w:val="15"/>
    </w:rPr>
  </w:style>
  <w:style w:type="paragraph" w:customStyle="1" w:styleId="CaseHeader">
    <w:name w:val="Case Header"/>
    <w:basedOn w:val="Normal"/>
    <w:rPr>
      <w:sz w:val="16"/>
    </w:rPr>
  </w:style>
  <w:style w:type="paragraph" w:customStyle="1" w:styleId="CaseFooter">
    <w:name w:val="Case Footer"/>
    <w:basedOn w:val="Normal"/>
    <w:rPr>
      <w:sz w:val="16"/>
    </w:rPr>
  </w:style>
  <w:style w:type="paragraph" w:customStyle="1" w:styleId="CaseSpacer">
    <w:name w:val="Case Spacer"/>
    <w:basedOn w:val="Normal"/>
    <w:rPr>
      <w:sz w:val="18"/>
    </w:rPr>
  </w:style>
  <w:style w:type="paragraph" w:customStyle="1" w:styleId="SourceNote">
    <w:name w:val="Source Note"/>
    <w:basedOn w:val="Normal"/>
    <w:rPr>
      <w:i/>
      <w:sz w:val="15"/>
    </w:rPr>
  </w:style>
  <w:style w:type="character" w:styleId="Hyperlink">
    <w:name w:val="Hyperlink"/>
    <w:basedOn w:val="DefaultParagraphFont"/>
    <w:uiPriority w:val="99"/>
    <w:unhideWhenUsed/>
    <w:rsid w:val="00505E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renpowell.org/decisionsdecision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rrenpowell.org/modeling-uncertaint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inyurl.com/FramingMatrix/" TargetMode="External"/><Relationship Id="rId4" Type="http://schemas.openxmlformats.org/officeDocument/2006/relationships/settings" Target="settings.xml"/><Relationship Id="rId9" Type="http://schemas.openxmlformats.org/officeDocument/2006/relationships/hyperlink" Target="https://warrenpowell.org/decisionsdecis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2612</Words>
  <Characters>14889</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17467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Summit Ridge Asset Management - The Monday Morning Cash Decision</dc:title>
  <dc:subject>Mutual fund cash management instructional case</dc:subject>
  <dc:creator>OpenAI</dc:creator>
  <cp:keywords>mutual fund, liquidity, cash management, redemptions, portfolio, case study</cp:keywords>
  <dc:description>generated by python-docx</dc:description>
  <cp:lastModifiedBy>Warren Powell</cp:lastModifiedBy>
  <cp:revision>4</cp:revision>
  <dcterms:created xsi:type="dcterms:W3CDTF">2026-07-30T17:07:00Z</dcterms:created>
  <dcterms:modified xsi:type="dcterms:W3CDTF">2026-07-30T18:25:00Z</dcterms:modified>
  <cp:category/>
</cp:coreProperties>
</file>