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1B5CF" w14:textId="4EBBCD43" w:rsidR="00021077" w:rsidRDefault="00021077" w:rsidP="00021077">
      <w:pPr>
        <w:pStyle w:val="CaseTitle"/>
      </w:pPr>
      <w:r>
        <w:t>Redwood’s Funding Needle</w:t>
      </w:r>
    </w:p>
    <w:p w14:paraId="75F8B2B1" w14:textId="7B463067" w:rsidR="00021077" w:rsidRDefault="00021077" w:rsidP="00021077">
      <w:pPr>
        <w:pStyle w:val="CaseDeck"/>
      </w:pPr>
      <w:r>
        <w:t>A state addiction agency balances naloxone, treatment, recovery – and restricted revenue</w:t>
      </w:r>
    </w:p>
    <w:p w14:paraId="60EC311A" w14:textId="77777777" w:rsidR="00021077" w:rsidRDefault="00021077" w:rsidP="00021077">
      <w:pPr>
        <w:pStyle w:val="CaseSpacer"/>
      </w:pPr>
      <w:r>
        <w:br/>
      </w:r>
    </w:p>
    <w:p w14:paraId="0485EB8F" w14:textId="77777777" w:rsidR="00021077" w:rsidRDefault="00021077" w:rsidP="003F7C63"/>
    <w:p w14:paraId="035D7856" w14:textId="5FF992E9" w:rsidR="005A4F2E" w:rsidRDefault="00000000" w:rsidP="003F7C63">
      <w:r>
        <w:t>This case is fictional. Public statistics and federal program descriptions are drawn from the sources listed at the end.</w:t>
      </w:r>
    </w:p>
    <w:p w14:paraId="33DE1BC3" w14:textId="77777777" w:rsidR="005A4F2E" w:rsidRDefault="00000000" w:rsidP="003F7C63">
      <w:r>
        <w:rPr>
          <w:b/>
        </w:rPr>
        <w:t>October 7, 2026 — 6:20 a.m.</w:t>
      </w:r>
      <w:r>
        <w:t xml:space="preserve">  Dr. Elena Marquez, commissioner of the Redwood Department of Recovery Services (RDRS), had three spreadsheets open on her kitchen table. One showed a falling statewide overdose-death count. A second showed a projected $18.6 million funding gap. The third listed 126 positions that could not be supported beyond June unless the legislature, the federal government, or private donors acted.</w:t>
      </w:r>
    </w:p>
    <w:p w14:paraId="6ADBDB3C" w14:textId="77777777" w:rsidR="005A4F2E" w:rsidRDefault="00000000" w:rsidP="003F7C63">
      <w:r>
        <w:rPr>
          <w:b/>
        </w:rPr>
        <w:t xml:space="preserve">The apparent improvement in mortality complicated rather than simplified the problem. </w:t>
      </w:r>
      <w:r>
        <w:t>Nationally, overdose deaths had declined sharply from their pandemic-era peak, but tens of thousands of people were still dying each year. CDC’s preliminary estimate for the 12 months ending December 2025 was about 69,973 deaths, 13.9% below the prior year. Final 2024 data showed 54,045 opioid-involved deaths, including 47,735 involving synthetic opioids other than methadone. Meanwhile, SAMHSA estimated that 4.8 million Americans aged 12 or older had opioid use disorder in 2024, but only 17% received medications for opioid use disorder.</w:t>
      </w:r>
    </w:p>
    <w:p w14:paraId="0F766D02" w14:textId="77777777" w:rsidR="005A4F2E" w:rsidRDefault="00000000" w:rsidP="003F7C63">
      <w:r>
        <w:t>Redwood’s governor wanted evidence that emergency investments could now be reduced. County officials wanted more naloxone. Treatment providers wanted higher reimbursement. Recovery organizations wanted housing and employment support. Federal grants remained large, but each arrived with its own eligible populations, required activities, reporting rules, and performance measures. Local donors were flexible but small—and increasingly interested in visible, short-term projects rather than permanent staff.</w:t>
      </w:r>
    </w:p>
    <w:p w14:paraId="4D40A1E5" w14:textId="77777777" w:rsidR="005A4F2E" w:rsidRDefault="00000000" w:rsidP="003F7C63">
      <w:r>
        <w:t>At 9:00 a.m., Marquez would chair a budget retreat. The question was not simply how to raise money. It was how to construct a funding portfolio that would keep a statewide workforce intact while serving populations whose needs did not fit neatly inside the restrictions attached to the available dollars.</w:t>
      </w:r>
    </w:p>
    <w:p w14:paraId="438FA290" w14:textId="77777777" w:rsidR="005A4F2E" w:rsidRDefault="00000000" w:rsidP="003F7C63">
      <w:pPr>
        <w:pStyle w:val="Heading1"/>
      </w:pPr>
      <w:r>
        <w:t>The Redwood System</w:t>
      </w:r>
    </w:p>
    <w:p w14:paraId="785C3604" w14:textId="77777777" w:rsidR="005A4F2E" w:rsidRDefault="00000000" w:rsidP="003F7C63">
      <w:r>
        <w:t>Redwood was a fictional state of 6.8 million residents, with two large metropolitan areas, a declining industrial corridor, agricultural counties, tribal lands, and remote mountain communities. RDRS had been created five years earlier by combining the state’s overdose-prevention office, addiction-treatment authority, and recovery-services unit. The consolidation promised a “single continuum of care,” but its financing remained fragmented.</w:t>
      </w:r>
    </w:p>
    <w:p w14:paraId="04913124" w14:textId="77777777" w:rsidR="005A4F2E" w:rsidRDefault="00000000" w:rsidP="003F7C63">
      <w:r>
        <w:t>RDRS did not operate hospitals. It employed clinicians, pharmacists, epidemiologists, peer-recovery specialists, grant managers, procurement staff, and regional coordinators. It contracted with community providers and county agencies, while directly managing the statewide naloxone warehouse, overdose surveillance, treatment-access line, mobile clinical teams, and recovery-navigation program.</w:t>
      </w:r>
    </w:p>
    <w:p w14:paraId="5116E4F4" w14:textId="77777777" w:rsidR="005A4F2E" w:rsidRDefault="00000000" w:rsidP="003F7C63">
      <w:r>
        <w:t>Personnel was the agency’s dominant cost. Staff did more than deliver services: they trained local partners, maintained standing orders, monitored subrecipients, collected federal data, investigated clusters, negotiated provider capacity, and helped people move from emergency care into treatment, housing, benefits, and employment. Many positions were supported by grants that treated them as temporary project expenses even though the work had become a permanent operating responsibility.</w:t>
      </w:r>
    </w:p>
    <w:p w14:paraId="1A3FD888" w14:textId="77777777" w:rsidR="003F7C63" w:rsidRDefault="003F7C63">
      <w:pPr>
        <w:spacing w:after="200" w:line="276" w:lineRule="auto"/>
        <w:rPr>
          <w:b/>
          <w:color w:val="17365D"/>
          <w:sz w:val="21"/>
        </w:rPr>
      </w:pPr>
      <w:r>
        <w:br w:type="page"/>
      </w:r>
    </w:p>
    <w:p w14:paraId="765A4B4A" w14:textId="3C86CBA9" w:rsidR="005A4F2E" w:rsidRDefault="00000000">
      <w:pPr>
        <w:pStyle w:val="ExhibitTitle"/>
      </w:pPr>
      <w:r>
        <w:lastRenderedPageBreak/>
        <w:t>Exhibit 1. RDRS operating profile, FY2026</w:t>
      </w:r>
    </w:p>
    <w:tbl>
      <w:tblPr>
        <w:tblStyle w:val="TableGrid"/>
        <w:tblW w:w="0" w:type="auto"/>
        <w:jc w:val="center"/>
        <w:tblLook w:val="04A0" w:firstRow="1" w:lastRow="0" w:firstColumn="1" w:lastColumn="0" w:noHBand="0" w:noVBand="1"/>
      </w:tblPr>
      <w:tblGrid>
        <w:gridCol w:w="2849"/>
        <w:gridCol w:w="1267"/>
        <w:gridCol w:w="1708"/>
        <w:gridCol w:w="4534"/>
      </w:tblGrid>
      <w:tr w:rsidR="005A4F2E" w14:paraId="48B85E3A" w14:textId="77777777">
        <w:trPr>
          <w:jc w:val="center"/>
        </w:trPr>
        <w:tc>
          <w:tcPr>
            <w:tcW w:w="2880" w:type="dxa"/>
            <w:shd w:val="clear" w:color="auto" w:fill="2F5597"/>
            <w:vAlign w:val="center"/>
          </w:tcPr>
          <w:p w14:paraId="0107503F" w14:textId="77777777" w:rsidR="005A4F2E" w:rsidRDefault="00000000" w:rsidP="003F7C63">
            <w:r>
              <w:t>Program area</w:t>
            </w:r>
          </w:p>
        </w:tc>
        <w:tc>
          <w:tcPr>
            <w:tcW w:w="1008" w:type="dxa"/>
            <w:shd w:val="clear" w:color="auto" w:fill="2F5597"/>
            <w:vAlign w:val="center"/>
          </w:tcPr>
          <w:p w14:paraId="109E25D4" w14:textId="77777777" w:rsidR="005A4F2E" w:rsidRDefault="00000000" w:rsidP="003F7C63">
            <w:r>
              <w:t>Employees</w:t>
            </w:r>
          </w:p>
        </w:tc>
        <w:tc>
          <w:tcPr>
            <w:tcW w:w="1728" w:type="dxa"/>
            <w:shd w:val="clear" w:color="auto" w:fill="2F5597"/>
            <w:vAlign w:val="center"/>
          </w:tcPr>
          <w:p w14:paraId="1E1DFE8D" w14:textId="77777777" w:rsidR="005A4F2E" w:rsidRDefault="00000000" w:rsidP="003F7C63">
            <w:r>
              <w:t>Annual cost</w:t>
            </w:r>
          </w:p>
        </w:tc>
        <w:tc>
          <w:tcPr>
            <w:tcW w:w="4608" w:type="dxa"/>
            <w:shd w:val="clear" w:color="auto" w:fill="2F5597"/>
            <w:vAlign w:val="center"/>
          </w:tcPr>
          <w:p w14:paraId="7FBB1F9A" w14:textId="77777777" w:rsidR="005A4F2E" w:rsidRDefault="00000000" w:rsidP="003F7C63">
            <w:r>
              <w:t>Selected FY2026 output</w:t>
            </w:r>
          </w:p>
        </w:tc>
      </w:tr>
      <w:tr w:rsidR="005A4F2E" w14:paraId="2EEB8966" w14:textId="77777777">
        <w:trPr>
          <w:jc w:val="center"/>
        </w:trPr>
        <w:tc>
          <w:tcPr>
            <w:tcW w:w="2880" w:type="dxa"/>
            <w:vAlign w:val="center"/>
          </w:tcPr>
          <w:p w14:paraId="6403C24A" w14:textId="77777777" w:rsidR="005A4F2E" w:rsidRDefault="00000000" w:rsidP="003F7C63">
            <w:r>
              <w:t>Naloxone and harm reduction</w:t>
            </w:r>
          </w:p>
        </w:tc>
        <w:tc>
          <w:tcPr>
            <w:tcW w:w="1008" w:type="dxa"/>
            <w:vAlign w:val="center"/>
          </w:tcPr>
          <w:p w14:paraId="7F418E4F" w14:textId="77777777" w:rsidR="005A4F2E" w:rsidRDefault="00000000" w:rsidP="003F7C63">
            <w:r>
              <w:t>94</w:t>
            </w:r>
          </w:p>
        </w:tc>
        <w:tc>
          <w:tcPr>
            <w:tcW w:w="1728" w:type="dxa"/>
            <w:vAlign w:val="center"/>
          </w:tcPr>
          <w:p w14:paraId="10FD6F74" w14:textId="77777777" w:rsidR="005A4F2E" w:rsidRDefault="00000000" w:rsidP="003F7C63">
            <w:r>
              <w:t>$18.9 million</w:t>
            </w:r>
          </w:p>
        </w:tc>
        <w:tc>
          <w:tcPr>
            <w:tcW w:w="4608" w:type="dxa"/>
            <w:vAlign w:val="center"/>
          </w:tcPr>
          <w:p w14:paraId="65A96744" w14:textId="77777777" w:rsidR="005A4F2E" w:rsidRDefault="00000000" w:rsidP="003F7C63">
            <w:r>
              <w:t>428,000 two-dose kits distributed; 31,400 people trained</w:t>
            </w:r>
          </w:p>
        </w:tc>
      </w:tr>
      <w:tr w:rsidR="005A4F2E" w14:paraId="58FF1CE5" w14:textId="77777777">
        <w:trPr>
          <w:jc w:val="center"/>
        </w:trPr>
        <w:tc>
          <w:tcPr>
            <w:tcW w:w="2880" w:type="dxa"/>
            <w:shd w:val="clear" w:color="auto" w:fill="EAF0F8"/>
            <w:vAlign w:val="center"/>
          </w:tcPr>
          <w:p w14:paraId="1D02E4E6" w14:textId="77777777" w:rsidR="005A4F2E" w:rsidRDefault="00000000" w:rsidP="003F7C63">
            <w:r>
              <w:t>Treatment access and clinical services</w:t>
            </w:r>
          </w:p>
        </w:tc>
        <w:tc>
          <w:tcPr>
            <w:tcW w:w="1008" w:type="dxa"/>
            <w:shd w:val="clear" w:color="auto" w:fill="EAF0F8"/>
            <w:vAlign w:val="center"/>
          </w:tcPr>
          <w:p w14:paraId="1314130A" w14:textId="77777777" w:rsidR="005A4F2E" w:rsidRDefault="00000000" w:rsidP="003F7C63">
            <w:r>
              <w:t>171</w:t>
            </w:r>
          </w:p>
        </w:tc>
        <w:tc>
          <w:tcPr>
            <w:tcW w:w="1728" w:type="dxa"/>
            <w:shd w:val="clear" w:color="auto" w:fill="EAF0F8"/>
            <w:vAlign w:val="center"/>
          </w:tcPr>
          <w:p w14:paraId="042B250D" w14:textId="77777777" w:rsidR="005A4F2E" w:rsidRDefault="00000000" w:rsidP="003F7C63">
            <w:r>
              <w:t>$43.7 million</w:t>
            </w:r>
          </w:p>
        </w:tc>
        <w:tc>
          <w:tcPr>
            <w:tcW w:w="4608" w:type="dxa"/>
            <w:shd w:val="clear" w:color="auto" w:fill="EAF0F8"/>
            <w:vAlign w:val="center"/>
          </w:tcPr>
          <w:p w14:paraId="063922F7" w14:textId="77777777" w:rsidR="005A4F2E" w:rsidRDefault="00000000" w:rsidP="003F7C63">
            <w:r>
              <w:t>21,800 treatment starts; 7,600 MOUD initiations</w:t>
            </w:r>
          </w:p>
        </w:tc>
      </w:tr>
      <w:tr w:rsidR="005A4F2E" w14:paraId="5778947A" w14:textId="77777777">
        <w:trPr>
          <w:jc w:val="center"/>
        </w:trPr>
        <w:tc>
          <w:tcPr>
            <w:tcW w:w="2880" w:type="dxa"/>
            <w:vAlign w:val="center"/>
          </w:tcPr>
          <w:p w14:paraId="4E045BC0" w14:textId="77777777" w:rsidR="005A4F2E" w:rsidRDefault="00000000" w:rsidP="003F7C63">
            <w:r>
              <w:t>Recovery and stabilization</w:t>
            </w:r>
          </w:p>
        </w:tc>
        <w:tc>
          <w:tcPr>
            <w:tcW w:w="1008" w:type="dxa"/>
            <w:vAlign w:val="center"/>
          </w:tcPr>
          <w:p w14:paraId="1840B76F" w14:textId="77777777" w:rsidR="005A4F2E" w:rsidRDefault="00000000" w:rsidP="003F7C63">
            <w:r>
              <w:t>116</w:t>
            </w:r>
          </w:p>
        </w:tc>
        <w:tc>
          <w:tcPr>
            <w:tcW w:w="1728" w:type="dxa"/>
            <w:vAlign w:val="center"/>
          </w:tcPr>
          <w:p w14:paraId="05C9D945" w14:textId="77777777" w:rsidR="005A4F2E" w:rsidRDefault="00000000" w:rsidP="003F7C63">
            <w:r>
              <w:t>$25.4 million</w:t>
            </w:r>
          </w:p>
        </w:tc>
        <w:tc>
          <w:tcPr>
            <w:tcW w:w="4608" w:type="dxa"/>
            <w:vAlign w:val="center"/>
          </w:tcPr>
          <w:p w14:paraId="2BA0EB88" w14:textId="77777777" w:rsidR="005A4F2E" w:rsidRDefault="00000000" w:rsidP="003F7C63">
            <w:r>
              <w:t>12,900 clients receiving navigation, housing, or employment support</w:t>
            </w:r>
          </w:p>
        </w:tc>
      </w:tr>
      <w:tr w:rsidR="005A4F2E" w14:paraId="7858E588" w14:textId="77777777">
        <w:trPr>
          <w:jc w:val="center"/>
        </w:trPr>
        <w:tc>
          <w:tcPr>
            <w:tcW w:w="2880" w:type="dxa"/>
            <w:shd w:val="clear" w:color="auto" w:fill="EAF0F8"/>
            <w:vAlign w:val="center"/>
          </w:tcPr>
          <w:p w14:paraId="47E4DE84" w14:textId="77777777" w:rsidR="005A4F2E" w:rsidRDefault="00000000" w:rsidP="003F7C63">
            <w:r>
              <w:t>Surveillance, evaluation, and grants</w:t>
            </w:r>
          </w:p>
        </w:tc>
        <w:tc>
          <w:tcPr>
            <w:tcW w:w="1008" w:type="dxa"/>
            <w:shd w:val="clear" w:color="auto" w:fill="EAF0F8"/>
            <w:vAlign w:val="center"/>
          </w:tcPr>
          <w:p w14:paraId="323951C2" w14:textId="77777777" w:rsidR="005A4F2E" w:rsidRDefault="00000000" w:rsidP="003F7C63">
            <w:r>
              <w:t>73</w:t>
            </w:r>
          </w:p>
        </w:tc>
        <w:tc>
          <w:tcPr>
            <w:tcW w:w="1728" w:type="dxa"/>
            <w:shd w:val="clear" w:color="auto" w:fill="EAF0F8"/>
            <w:vAlign w:val="center"/>
          </w:tcPr>
          <w:p w14:paraId="5C025737" w14:textId="77777777" w:rsidR="005A4F2E" w:rsidRDefault="00000000" w:rsidP="003F7C63">
            <w:r>
              <w:t>$16.8 million</w:t>
            </w:r>
          </w:p>
        </w:tc>
        <w:tc>
          <w:tcPr>
            <w:tcW w:w="4608" w:type="dxa"/>
            <w:shd w:val="clear" w:color="auto" w:fill="EAF0F8"/>
            <w:vAlign w:val="center"/>
          </w:tcPr>
          <w:p w14:paraId="60D8CDB8" w14:textId="77777777" w:rsidR="005A4F2E" w:rsidRDefault="00000000" w:rsidP="003F7C63">
            <w:r>
              <w:t>62 subawards monitored; weekly overdose dashboard</w:t>
            </w:r>
          </w:p>
        </w:tc>
      </w:tr>
      <w:tr w:rsidR="005A4F2E" w14:paraId="0B7A9635" w14:textId="77777777">
        <w:trPr>
          <w:jc w:val="center"/>
        </w:trPr>
        <w:tc>
          <w:tcPr>
            <w:tcW w:w="2880" w:type="dxa"/>
            <w:vAlign w:val="center"/>
          </w:tcPr>
          <w:p w14:paraId="056A7C82" w14:textId="77777777" w:rsidR="005A4F2E" w:rsidRDefault="00000000" w:rsidP="003F7C63">
            <w:r>
              <w:t>Administration and shared services</w:t>
            </w:r>
          </w:p>
        </w:tc>
        <w:tc>
          <w:tcPr>
            <w:tcW w:w="1008" w:type="dxa"/>
            <w:vAlign w:val="center"/>
          </w:tcPr>
          <w:p w14:paraId="6137427E" w14:textId="77777777" w:rsidR="005A4F2E" w:rsidRDefault="00000000" w:rsidP="003F7C63">
            <w:r>
              <w:t>52</w:t>
            </w:r>
          </w:p>
        </w:tc>
        <w:tc>
          <w:tcPr>
            <w:tcW w:w="1728" w:type="dxa"/>
            <w:vAlign w:val="center"/>
          </w:tcPr>
          <w:p w14:paraId="1FFECF9D" w14:textId="77777777" w:rsidR="005A4F2E" w:rsidRDefault="00000000" w:rsidP="003F7C63">
            <w:r>
              <w:t>$13.2 million</w:t>
            </w:r>
          </w:p>
        </w:tc>
        <w:tc>
          <w:tcPr>
            <w:tcW w:w="4608" w:type="dxa"/>
            <w:vAlign w:val="center"/>
          </w:tcPr>
          <w:p w14:paraId="0D6F8CD6" w14:textId="77777777" w:rsidR="005A4F2E" w:rsidRDefault="00000000" w:rsidP="003F7C63">
            <w:r>
              <w:t>Procurement, finance, IT, legal, HR</w:t>
            </w:r>
          </w:p>
        </w:tc>
      </w:tr>
      <w:tr w:rsidR="005A4F2E" w14:paraId="222F9E55" w14:textId="77777777">
        <w:trPr>
          <w:jc w:val="center"/>
        </w:trPr>
        <w:tc>
          <w:tcPr>
            <w:tcW w:w="2880" w:type="dxa"/>
            <w:shd w:val="clear" w:color="auto" w:fill="EAF0F8"/>
            <w:vAlign w:val="center"/>
          </w:tcPr>
          <w:p w14:paraId="78E12606" w14:textId="77777777" w:rsidR="005A4F2E" w:rsidRDefault="00000000" w:rsidP="003F7C63">
            <w:r>
              <w:t>Total</w:t>
            </w:r>
          </w:p>
        </w:tc>
        <w:tc>
          <w:tcPr>
            <w:tcW w:w="1008" w:type="dxa"/>
            <w:shd w:val="clear" w:color="auto" w:fill="EAF0F8"/>
            <w:vAlign w:val="center"/>
          </w:tcPr>
          <w:p w14:paraId="707CABEA" w14:textId="77777777" w:rsidR="005A4F2E" w:rsidRDefault="00000000" w:rsidP="003F7C63">
            <w:r>
              <w:t>506</w:t>
            </w:r>
          </w:p>
        </w:tc>
        <w:tc>
          <w:tcPr>
            <w:tcW w:w="1728" w:type="dxa"/>
            <w:shd w:val="clear" w:color="auto" w:fill="EAF0F8"/>
            <w:vAlign w:val="center"/>
          </w:tcPr>
          <w:p w14:paraId="79DC1409" w14:textId="77777777" w:rsidR="005A4F2E" w:rsidRDefault="00000000" w:rsidP="003F7C63">
            <w:r>
              <w:t>$118.0 million</w:t>
            </w:r>
          </w:p>
        </w:tc>
        <w:tc>
          <w:tcPr>
            <w:tcW w:w="4608" w:type="dxa"/>
            <w:shd w:val="clear" w:color="auto" w:fill="EAF0F8"/>
            <w:vAlign w:val="center"/>
          </w:tcPr>
          <w:p w14:paraId="0AF989FE" w14:textId="77777777" w:rsidR="005A4F2E" w:rsidRDefault="00000000" w:rsidP="003F7C63">
            <w:r>
              <w:t>Statewide operations</w:t>
            </w:r>
          </w:p>
        </w:tc>
      </w:tr>
    </w:tbl>
    <w:p w14:paraId="17D9DA2E" w14:textId="77777777" w:rsidR="005A4F2E" w:rsidRDefault="005A4F2E" w:rsidP="003F7C63"/>
    <w:p w14:paraId="1B93CC23" w14:textId="77777777" w:rsidR="005A4F2E" w:rsidRDefault="00000000">
      <w:pPr>
        <w:pStyle w:val="SourceNote"/>
      </w:pPr>
      <w:r>
        <w:t>Note: All Redwood data are fictional. “Annual cost” includes personnel, benefits, contracts, supplies, and allocated overhead.</w:t>
      </w:r>
    </w:p>
    <w:p w14:paraId="100B21C0" w14:textId="77777777" w:rsidR="005A4F2E" w:rsidRDefault="00000000" w:rsidP="003F7C63">
      <w:pPr>
        <w:pStyle w:val="Heading1"/>
      </w:pPr>
      <w:r>
        <w:t>A Better Year—or a Fragile Improvement?</w:t>
      </w:r>
    </w:p>
    <w:p w14:paraId="161A7DB9" w14:textId="77777777" w:rsidR="005A4F2E" w:rsidRDefault="00000000" w:rsidP="003F7C63">
      <w:r>
        <w:t>Redwood’s provisional overdose deaths had declined from 2,180 in 2023 to 1,640 in 2025. Emergency-department overdose visits were also down, but less dramatically. The statewide totals concealed persistent differences: urban deaths were falling faster than rural deaths; deaths among adults over 45 were declining slowly; and stimulant-involved overdoses were becoming a larger share of the caseload. Several counties reported that naloxone was being used more than once during a single event.</w:t>
      </w:r>
    </w:p>
    <w:p w14:paraId="1155D3D0" w14:textId="77777777" w:rsidR="005A4F2E" w:rsidRDefault="00000000" w:rsidP="003F7C63">
      <w:r>
        <w:t>Marquez’s epidemiologists cautioned against treating the decline as proof that the crisis had passed. National analyses attributed recent improvements to multiple factors, including wider naloxone distribution, better treatment access, changes in the illegal drug supply, restored prevention activities after the pandemic, and continued public investment. If funding was reduced because outcomes improved, the state might dismantle some of the capacity that had contributed to those outcomes.</w:t>
      </w:r>
    </w:p>
    <w:p w14:paraId="24AB8F7B" w14:textId="77777777" w:rsidR="005A4F2E" w:rsidRDefault="00000000" w:rsidP="003F7C63">
      <w:pPr>
        <w:pStyle w:val="Heading1"/>
      </w:pPr>
      <w:r>
        <w:t>The Revenue Architecture</w:t>
      </w:r>
    </w:p>
    <w:p w14:paraId="64AC2F02" w14:textId="77777777" w:rsidR="005A4F2E" w:rsidRDefault="00000000" w:rsidP="003F7C63">
      <w:r>
        <w:t>RDRS’s budget looked diversified from a distance. In practice, much of it was restricted. The federal State Opioid Response (SOR) program supported prevention, harm reduction, treatment, and recovery services, but continuation funding depended on congressional appropriations, progress toward objectives, timely reporting, and compliance with grant conditions. The FY2024 SOR notice anticipated $1.4805 billion nationally for up to 59 awards; HHS later announced more than $1.5 billion in FY2025 continuation awards for state and tribal opioid response. The apparent stability did not eliminate annual uncertainty at the state level.</w:t>
      </w:r>
    </w:p>
    <w:p w14:paraId="3C944AF3" w14:textId="77777777" w:rsidR="005A4F2E" w:rsidRDefault="00000000" w:rsidP="003F7C63">
      <w:r>
        <w:t>Other federal funds focused on surveillance, block-grant populations, justice-involved individuals, pregnant and parenting people, youth prevention, or specific evidence-based practices. State appropriations were more flexible but exposed to the annual budget cycle. Opioid-settlement proceeds could support abatement but were governed by legal agreements and political oversight. Medicaid reimbursed clinical encounters but generally did not pay for broad outreach, naloxone placed in public locations, grant compliance, or employment navigation. Private donors often preferred named initiatives with measurable, visible outcomes.</w:t>
      </w:r>
    </w:p>
    <w:p w14:paraId="45DA8ABD" w14:textId="77777777" w:rsidR="003F7C63" w:rsidRDefault="003F7C63">
      <w:pPr>
        <w:spacing w:after="200" w:line="276" w:lineRule="auto"/>
        <w:rPr>
          <w:b/>
          <w:color w:val="17365D"/>
          <w:sz w:val="21"/>
        </w:rPr>
      </w:pPr>
      <w:r>
        <w:br w:type="page"/>
      </w:r>
    </w:p>
    <w:p w14:paraId="200C2359" w14:textId="1E628D7C" w:rsidR="005A4F2E" w:rsidRDefault="00000000">
      <w:pPr>
        <w:pStyle w:val="ExhibitTitle"/>
      </w:pPr>
      <w:r>
        <w:lastRenderedPageBreak/>
        <w:t>Exhibit 2. Projected FY2027 funding by source</w:t>
      </w:r>
    </w:p>
    <w:tbl>
      <w:tblPr>
        <w:tblStyle w:val="TableGrid"/>
        <w:tblW w:w="0" w:type="auto"/>
        <w:jc w:val="center"/>
        <w:tblLook w:val="04A0" w:firstRow="1" w:lastRow="0" w:firstColumn="1" w:lastColumn="0" w:noHBand="0" w:noVBand="1"/>
      </w:tblPr>
      <w:tblGrid>
        <w:gridCol w:w="2232"/>
        <w:gridCol w:w="1224"/>
        <w:gridCol w:w="1656"/>
        <w:gridCol w:w="5112"/>
      </w:tblGrid>
      <w:tr w:rsidR="005A4F2E" w14:paraId="04359B3E" w14:textId="77777777">
        <w:trPr>
          <w:jc w:val="center"/>
        </w:trPr>
        <w:tc>
          <w:tcPr>
            <w:tcW w:w="2232" w:type="dxa"/>
            <w:shd w:val="clear" w:color="auto" w:fill="2F5597"/>
            <w:vAlign w:val="center"/>
          </w:tcPr>
          <w:p w14:paraId="0CB4C35C" w14:textId="77777777" w:rsidR="005A4F2E" w:rsidRDefault="00000000" w:rsidP="003F7C63">
            <w:r>
              <w:t>Source</w:t>
            </w:r>
          </w:p>
        </w:tc>
        <w:tc>
          <w:tcPr>
            <w:tcW w:w="1224" w:type="dxa"/>
            <w:shd w:val="clear" w:color="auto" w:fill="2F5597"/>
            <w:vAlign w:val="center"/>
          </w:tcPr>
          <w:p w14:paraId="0DB7527A" w14:textId="77777777" w:rsidR="005A4F2E" w:rsidRDefault="00000000" w:rsidP="003F7C63">
            <w:r>
              <w:t>FY2026</w:t>
            </w:r>
          </w:p>
        </w:tc>
        <w:tc>
          <w:tcPr>
            <w:tcW w:w="1656" w:type="dxa"/>
            <w:shd w:val="clear" w:color="auto" w:fill="2F5597"/>
            <w:vAlign w:val="center"/>
          </w:tcPr>
          <w:p w14:paraId="4CE3D2AF" w14:textId="77777777" w:rsidR="005A4F2E" w:rsidRDefault="00000000" w:rsidP="003F7C63">
            <w:r>
              <w:t>FY2027 planning case</w:t>
            </w:r>
          </w:p>
        </w:tc>
        <w:tc>
          <w:tcPr>
            <w:tcW w:w="5112" w:type="dxa"/>
            <w:shd w:val="clear" w:color="auto" w:fill="2F5597"/>
            <w:vAlign w:val="center"/>
          </w:tcPr>
          <w:p w14:paraId="5B165E89" w14:textId="77777777" w:rsidR="005A4F2E" w:rsidRDefault="00000000" w:rsidP="003F7C63">
            <w:r>
              <w:t>Principal restrictions or uncertainty</w:t>
            </w:r>
          </w:p>
        </w:tc>
      </w:tr>
      <w:tr w:rsidR="005A4F2E" w14:paraId="733189E9" w14:textId="77777777">
        <w:trPr>
          <w:jc w:val="center"/>
        </w:trPr>
        <w:tc>
          <w:tcPr>
            <w:tcW w:w="2232" w:type="dxa"/>
            <w:vAlign w:val="center"/>
          </w:tcPr>
          <w:p w14:paraId="17915B77" w14:textId="77777777" w:rsidR="005A4F2E" w:rsidRDefault="00000000" w:rsidP="003F7C63">
            <w:r>
              <w:t>Federal SOR grant</w:t>
            </w:r>
          </w:p>
        </w:tc>
        <w:tc>
          <w:tcPr>
            <w:tcW w:w="1224" w:type="dxa"/>
            <w:vAlign w:val="center"/>
          </w:tcPr>
          <w:p w14:paraId="3E6E91B6" w14:textId="77777777" w:rsidR="005A4F2E" w:rsidRDefault="00000000" w:rsidP="003F7C63">
            <w:r>
              <w:t>$38.4M</w:t>
            </w:r>
          </w:p>
        </w:tc>
        <w:tc>
          <w:tcPr>
            <w:tcW w:w="1656" w:type="dxa"/>
            <w:vAlign w:val="center"/>
          </w:tcPr>
          <w:p w14:paraId="32D8D6C6" w14:textId="77777777" w:rsidR="005A4F2E" w:rsidRDefault="00000000" w:rsidP="003F7C63">
            <w:r>
              <w:t>$31.0M–$39.2M</w:t>
            </w:r>
          </w:p>
        </w:tc>
        <w:tc>
          <w:tcPr>
            <w:tcW w:w="5112" w:type="dxa"/>
            <w:vAlign w:val="center"/>
          </w:tcPr>
          <w:p w14:paraId="43B433BC" w14:textId="77777777" w:rsidR="005A4F2E" w:rsidRDefault="00000000" w:rsidP="003F7C63">
            <w:r>
              <w:t>Annual continuation; opioid/stimulant objectives; detailed reporting; subrecipient requirements</w:t>
            </w:r>
          </w:p>
        </w:tc>
      </w:tr>
      <w:tr w:rsidR="005A4F2E" w14:paraId="10CA65A3" w14:textId="77777777">
        <w:trPr>
          <w:jc w:val="center"/>
        </w:trPr>
        <w:tc>
          <w:tcPr>
            <w:tcW w:w="2232" w:type="dxa"/>
            <w:shd w:val="clear" w:color="auto" w:fill="EAF0F8"/>
            <w:vAlign w:val="center"/>
          </w:tcPr>
          <w:p w14:paraId="4E84AEF2" w14:textId="77777777" w:rsidR="005A4F2E" w:rsidRDefault="00000000" w:rsidP="003F7C63">
            <w:r>
              <w:t>Other federal grants</w:t>
            </w:r>
          </w:p>
        </w:tc>
        <w:tc>
          <w:tcPr>
            <w:tcW w:w="1224" w:type="dxa"/>
            <w:shd w:val="clear" w:color="auto" w:fill="EAF0F8"/>
            <w:vAlign w:val="center"/>
          </w:tcPr>
          <w:p w14:paraId="53386B21" w14:textId="77777777" w:rsidR="005A4F2E" w:rsidRDefault="00000000" w:rsidP="003F7C63">
            <w:r>
              <w:t>$19.6M</w:t>
            </w:r>
          </w:p>
        </w:tc>
        <w:tc>
          <w:tcPr>
            <w:tcW w:w="1656" w:type="dxa"/>
            <w:shd w:val="clear" w:color="auto" w:fill="EAF0F8"/>
            <w:vAlign w:val="center"/>
          </w:tcPr>
          <w:p w14:paraId="3672BC70" w14:textId="77777777" w:rsidR="005A4F2E" w:rsidRDefault="00000000" w:rsidP="003F7C63">
            <w:r>
              <w:t>$15.1M–$20.4M</w:t>
            </w:r>
          </w:p>
        </w:tc>
        <w:tc>
          <w:tcPr>
            <w:tcW w:w="5112" w:type="dxa"/>
            <w:shd w:val="clear" w:color="auto" w:fill="EAF0F8"/>
            <w:vAlign w:val="center"/>
          </w:tcPr>
          <w:p w14:paraId="6AB3DA4B" w14:textId="77777777" w:rsidR="005A4F2E" w:rsidRDefault="00000000" w:rsidP="003F7C63">
            <w:r>
              <w:t>Narrow populations or activities; different grant periods and indirect-cost rules</w:t>
            </w:r>
          </w:p>
        </w:tc>
      </w:tr>
      <w:tr w:rsidR="005A4F2E" w14:paraId="79763998" w14:textId="77777777">
        <w:trPr>
          <w:jc w:val="center"/>
        </w:trPr>
        <w:tc>
          <w:tcPr>
            <w:tcW w:w="2232" w:type="dxa"/>
            <w:vAlign w:val="center"/>
          </w:tcPr>
          <w:p w14:paraId="3FA9D164" w14:textId="77777777" w:rsidR="005A4F2E" w:rsidRDefault="00000000" w:rsidP="003F7C63">
            <w:r>
              <w:t>State general fund</w:t>
            </w:r>
          </w:p>
        </w:tc>
        <w:tc>
          <w:tcPr>
            <w:tcW w:w="1224" w:type="dxa"/>
            <w:vAlign w:val="center"/>
          </w:tcPr>
          <w:p w14:paraId="70D2C57D" w14:textId="77777777" w:rsidR="005A4F2E" w:rsidRDefault="00000000" w:rsidP="003F7C63">
            <w:r>
              <w:t>$25.0M</w:t>
            </w:r>
          </w:p>
        </w:tc>
        <w:tc>
          <w:tcPr>
            <w:tcW w:w="1656" w:type="dxa"/>
            <w:vAlign w:val="center"/>
          </w:tcPr>
          <w:p w14:paraId="60EF3648" w14:textId="77777777" w:rsidR="005A4F2E" w:rsidRDefault="00000000" w:rsidP="003F7C63">
            <w:r>
              <w:t>$21.0M–$30.0M</w:t>
            </w:r>
          </w:p>
        </w:tc>
        <w:tc>
          <w:tcPr>
            <w:tcW w:w="5112" w:type="dxa"/>
            <w:vAlign w:val="center"/>
          </w:tcPr>
          <w:p w14:paraId="54025B52" w14:textId="77777777" w:rsidR="005A4F2E" w:rsidRDefault="00000000" w:rsidP="003F7C63">
            <w:r>
              <w:t>Annual appropriation; competing budget priorities</w:t>
            </w:r>
          </w:p>
        </w:tc>
      </w:tr>
      <w:tr w:rsidR="005A4F2E" w14:paraId="37DD6E4D" w14:textId="77777777">
        <w:trPr>
          <w:jc w:val="center"/>
        </w:trPr>
        <w:tc>
          <w:tcPr>
            <w:tcW w:w="2232" w:type="dxa"/>
            <w:shd w:val="clear" w:color="auto" w:fill="EAF0F8"/>
            <w:vAlign w:val="center"/>
          </w:tcPr>
          <w:p w14:paraId="478C7022" w14:textId="77777777" w:rsidR="005A4F2E" w:rsidRDefault="00000000" w:rsidP="003F7C63">
            <w:r>
              <w:t>Opioid-settlement allocation</w:t>
            </w:r>
          </w:p>
        </w:tc>
        <w:tc>
          <w:tcPr>
            <w:tcW w:w="1224" w:type="dxa"/>
            <w:shd w:val="clear" w:color="auto" w:fill="EAF0F8"/>
            <w:vAlign w:val="center"/>
          </w:tcPr>
          <w:p w14:paraId="71B6A230" w14:textId="77777777" w:rsidR="005A4F2E" w:rsidRDefault="00000000" w:rsidP="003F7C63">
            <w:r>
              <w:t>$14.5M</w:t>
            </w:r>
          </w:p>
        </w:tc>
        <w:tc>
          <w:tcPr>
            <w:tcW w:w="1656" w:type="dxa"/>
            <w:shd w:val="clear" w:color="auto" w:fill="EAF0F8"/>
            <w:vAlign w:val="center"/>
          </w:tcPr>
          <w:p w14:paraId="0679037A" w14:textId="77777777" w:rsidR="005A4F2E" w:rsidRDefault="00000000" w:rsidP="003F7C63">
            <w:r>
              <w:t>$11.0M–$16.0M</w:t>
            </w:r>
          </w:p>
        </w:tc>
        <w:tc>
          <w:tcPr>
            <w:tcW w:w="5112" w:type="dxa"/>
            <w:shd w:val="clear" w:color="auto" w:fill="EAF0F8"/>
            <w:vAlign w:val="center"/>
          </w:tcPr>
          <w:p w14:paraId="6B87127E" w14:textId="77777777" w:rsidR="005A4F2E" w:rsidRDefault="00000000" w:rsidP="003F7C63">
            <w:r>
              <w:t>Must qualify as opioid remediation; public and legal oversight</w:t>
            </w:r>
          </w:p>
        </w:tc>
      </w:tr>
      <w:tr w:rsidR="005A4F2E" w14:paraId="60372C28" w14:textId="77777777">
        <w:trPr>
          <w:jc w:val="center"/>
        </w:trPr>
        <w:tc>
          <w:tcPr>
            <w:tcW w:w="2232" w:type="dxa"/>
            <w:vAlign w:val="center"/>
          </w:tcPr>
          <w:p w14:paraId="44DD43A2" w14:textId="77777777" w:rsidR="005A4F2E" w:rsidRDefault="00000000" w:rsidP="003F7C63">
            <w:r>
              <w:t>Medicaid and service revenue</w:t>
            </w:r>
          </w:p>
        </w:tc>
        <w:tc>
          <w:tcPr>
            <w:tcW w:w="1224" w:type="dxa"/>
            <w:vAlign w:val="center"/>
          </w:tcPr>
          <w:p w14:paraId="77787883" w14:textId="77777777" w:rsidR="005A4F2E" w:rsidRDefault="00000000" w:rsidP="003F7C63">
            <w:r>
              <w:t>$13.1M</w:t>
            </w:r>
          </w:p>
        </w:tc>
        <w:tc>
          <w:tcPr>
            <w:tcW w:w="1656" w:type="dxa"/>
            <w:vAlign w:val="center"/>
          </w:tcPr>
          <w:p w14:paraId="63B4318C" w14:textId="77777777" w:rsidR="005A4F2E" w:rsidRDefault="00000000" w:rsidP="003F7C63">
            <w:r>
              <w:t>$13.8M–$16.5M</w:t>
            </w:r>
          </w:p>
        </w:tc>
        <w:tc>
          <w:tcPr>
            <w:tcW w:w="5112" w:type="dxa"/>
            <w:vAlign w:val="center"/>
          </w:tcPr>
          <w:p w14:paraId="12DDC0B9" w14:textId="77777777" w:rsidR="005A4F2E" w:rsidRDefault="00000000" w:rsidP="003F7C63">
            <w:r>
              <w:t>Depends on billable encounters, enrollment, rates, and provider capacity</w:t>
            </w:r>
          </w:p>
        </w:tc>
      </w:tr>
      <w:tr w:rsidR="005A4F2E" w14:paraId="486702AC" w14:textId="77777777">
        <w:trPr>
          <w:jc w:val="center"/>
        </w:trPr>
        <w:tc>
          <w:tcPr>
            <w:tcW w:w="2232" w:type="dxa"/>
            <w:shd w:val="clear" w:color="auto" w:fill="EAF0F8"/>
            <w:vAlign w:val="center"/>
          </w:tcPr>
          <w:p w14:paraId="3FA5E827" w14:textId="77777777" w:rsidR="005A4F2E" w:rsidRDefault="00000000" w:rsidP="003F7C63">
            <w:r>
              <w:t>Foundations and local donors</w:t>
            </w:r>
          </w:p>
        </w:tc>
        <w:tc>
          <w:tcPr>
            <w:tcW w:w="1224" w:type="dxa"/>
            <w:shd w:val="clear" w:color="auto" w:fill="EAF0F8"/>
            <w:vAlign w:val="center"/>
          </w:tcPr>
          <w:p w14:paraId="5AC7F00A" w14:textId="77777777" w:rsidR="005A4F2E" w:rsidRDefault="00000000" w:rsidP="003F7C63">
            <w:r>
              <w:t>$4.6M</w:t>
            </w:r>
          </w:p>
        </w:tc>
        <w:tc>
          <w:tcPr>
            <w:tcW w:w="1656" w:type="dxa"/>
            <w:shd w:val="clear" w:color="auto" w:fill="EAF0F8"/>
            <w:vAlign w:val="center"/>
          </w:tcPr>
          <w:p w14:paraId="4350A199" w14:textId="77777777" w:rsidR="005A4F2E" w:rsidRDefault="00000000" w:rsidP="003F7C63">
            <w:r>
              <w:t>$3.0M–$8.0M</w:t>
            </w:r>
          </w:p>
        </w:tc>
        <w:tc>
          <w:tcPr>
            <w:tcW w:w="5112" w:type="dxa"/>
            <w:shd w:val="clear" w:color="auto" w:fill="EAF0F8"/>
            <w:vAlign w:val="center"/>
          </w:tcPr>
          <w:p w14:paraId="07544EFD" w14:textId="77777777" w:rsidR="005A4F2E" w:rsidRDefault="00000000" w:rsidP="003F7C63">
            <w:r>
              <w:t>Small awards; donor preferences; limited appetite for permanent payroll</w:t>
            </w:r>
          </w:p>
        </w:tc>
      </w:tr>
      <w:tr w:rsidR="005A4F2E" w14:paraId="412F4C92" w14:textId="77777777">
        <w:trPr>
          <w:jc w:val="center"/>
        </w:trPr>
        <w:tc>
          <w:tcPr>
            <w:tcW w:w="2232" w:type="dxa"/>
            <w:vAlign w:val="center"/>
          </w:tcPr>
          <w:p w14:paraId="32DE5441" w14:textId="77777777" w:rsidR="005A4F2E" w:rsidRDefault="00000000" w:rsidP="003F7C63">
            <w:r>
              <w:t>Other</w:t>
            </w:r>
          </w:p>
        </w:tc>
        <w:tc>
          <w:tcPr>
            <w:tcW w:w="1224" w:type="dxa"/>
            <w:vAlign w:val="center"/>
          </w:tcPr>
          <w:p w14:paraId="16531E4D" w14:textId="77777777" w:rsidR="005A4F2E" w:rsidRDefault="00000000" w:rsidP="003F7C63">
            <w:r>
              <w:t>$2.8M</w:t>
            </w:r>
          </w:p>
        </w:tc>
        <w:tc>
          <w:tcPr>
            <w:tcW w:w="1656" w:type="dxa"/>
            <w:vAlign w:val="center"/>
          </w:tcPr>
          <w:p w14:paraId="0DBE3DE7" w14:textId="77777777" w:rsidR="005A4F2E" w:rsidRDefault="00000000" w:rsidP="003F7C63">
            <w:r>
              <w:t>$2.5M–$3.0M</w:t>
            </w:r>
          </w:p>
        </w:tc>
        <w:tc>
          <w:tcPr>
            <w:tcW w:w="5112" w:type="dxa"/>
            <w:vAlign w:val="center"/>
          </w:tcPr>
          <w:p w14:paraId="565976CC" w14:textId="77777777" w:rsidR="005A4F2E" w:rsidRDefault="00000000" w:rsidP="003F7C63">
            <w:r>
              <w:t>Fees, training, interagency agreements</w:t>
            </w:r>
          </w:p>
        </w:tc>
      </w:tr>
      <w:tr w:rsidR="005A4F2E" w14:paraId="4C99E491" w14:textId="77777777">
        <w:trPr>
          <w:jc w:val="center"/>
        </w:trPr>
        <w:tc>
          <w:tcPr>
            <w:tcW w:w="2232" w:type="dxa"/>
            <w:shd w:val="clear" w:color="auto" w:fill="EAF0F8"/>
            <w:vAlign w:val="center"/>
          </w:tcPr>
          <w:p w14:paraId="4E995C6C" w14:textId="77777777" w:rsidR="005A4F2E" w:rsidRDefault="00000000" w:rsidP="003F7C63">
            <w:r>
              <w:t>Total</w:t>
            </w:r>
          </w:p>
        </w:tc>
        <w:tc>
          <w:tcPr>
            <w:tcW w:w="1224" w:type="dxa"/>
            <w:shd w:val="clear" w:color="auto" w:fill="EAF0F8"/>
            <w:vAlign w:val="center"/>
          </w:tcPr>
          <w:p w14:paraId="6C7B7DD6" w14:textId="77777777" w:rsidR="005A4F2E" w:rsidRDefault="00000000" w:rsidP="003F7C63">
            <w:r>
              <w:t>$118.0M</w:t>
            </w:r>
          </w:p>
        </w:tc>
        <w:tc>
          <w:tcPr>
            <w:tcW w:w="1656" w:type="dxa"/>
            <w:shd w:val="clear" w:color="auto" w:fill="EAF0F8"/>
            <w:vAlign w:val="center"/>
          </w:tcPr>
          <w:p w14:paraId="58977C71" w14:textId="77777777" w:rsidR="005A4F2E" w:rsidRDefault="00000000" w:rsidP="003F7C63">
            <w:r>
              <w:t>$97.4M–$133.1M</w:t>
            </w:r>
          </w:p>
        </w:tc>
        <w:tc>
          <w:tcPr>
            <w:tcW w:w="5112" w:type="dxa"/>
            <w:shd w:val="clear" w:color="auto" w:fill="EAF0F8"/>
            <w:vAlign w:val="center"/>
          </w:tcPr>
          <w:p w14:paraId="468DE513" w14:textId="77777777" w:rsidR="005A4F2E" w:rsidRDefault="00000000" w:rsidP="003F7C63">
            <w:r>
              <w:t>Wide range; timing and restrictions matter as much as total</w:t>
            </w:r>
          </w:p>
        </w:tc>
      </w:tr>
    </w:tbl>
    <w:p w14:paraId="46E26046" w14:textId="77777777" w:rsidR="005A4F2E" w:rsidRDefault="005A4F2E" w:rsidP="003F7C63"/>
    <w:p w14:paraId="75942FD9" w14:textId="77777777" w:rsidR="005A4F2E" w:rsidRDefault="00000000" w:rsidP="003F7C63">
      <w:r>
        <w:t>GAO had recently reported that federal opioid-response recipients faced burdens from changing reporting requirements, funding delays, state procurement processes, and shortened implementation windows. A new statutory requirement called for information on the “ultimate recipients” of opioid-response funds. RDRS’s grants director estimated that compliance and subrecipient monitoring consumed the equivalent of 29 full-time positions—positions that donors rarely wanted to finance.</w:t>
      </w:r>
    </w:p>
    <w:p w14:paraId="50FC908A" w14:textId="77777777" w:rsidR="005A4F2E" w:rsidRDefault="00000000" w:rsidP="003F7C63">
      <w:pPr>
        <w:pStyle w:val="Heading1"/>
      </w:pPr>
      <w:r>
        <w:t>Who Should Be Served?</w:t>
      </w:r>
    </w:p>
    <w:p w14:paraId="0441EFF4" w14:textId="77777777" w:rsidR="005A4F2E" w:rsidRDefault="00000000" w:rsidP="003F7C63">
      <w:r>
        <w:t>The funding problem could not be separated from the allocation problem. RDRS could not promise identical access to every group. Each additional commitment created staff obligations that extended beyond the life of the grant that launched it.</w:t>
      </w:r>
    </w:p>
    <w:p w14:paraId="709F13BE" w14:textId="77777777" w:rsidR="005A4F2E" w:rsidRDefault="00000000" w:rsidP="003F7C63">
      <w:r>
        <w:t>County health departments argued that naloxone should remain universal and free. They wanted kits in libraries, schools, shelters, transit stations, correctional facilities, treatment centers, and the hands of people who used drugs and their families. Naloxone could reverse an opioid overdose when administered in time, and CDC emphasized distribution through community organizations. But universal availability required procurement, warehousing, expiration management, training, data systems, and local technical assistance—not just purchasing medication.</w:t>
      </w:r>
    </w:p>
    <w:p w14:paraId="21C55164" w14:textId="77777777" w:rsidR="005A4F2E" w:rsidRDefault="00000000" w:rsidP="003F7C63">
      <w:r>
        <w:t>Treatment leaders emphasized the gap between disease prevalence and evidence-based care. They wanted mobile MOUD teams, same-day appointments, transportation, telehealth, and better transitions from emergency departments and jails. Recovery organizations argued that treatment without housing, identification documents, employment, childcare, and sustained peer support led too many people back into crisis. Rural counties wanted traveling teams even when cost per person was high. Legislators from suburban districts wanted youth prevention and support for families affected by addiction.</w:t>
      </w:r>
    </w:p>
    <w:p w14:paraId="3CD30DA3" w14:textId="77777777" w:rsidR="003F7C63" w:rsidRDefault="003F7C63">
      <w:pPr>
        <w:spacing w:after="200" w:line="276" w:lineRule="auto"/>
        <w:rPr>
          <w:b/>
          <w:color w:val="17365D"/>
          <w:sz w:val="21"/>
        </w:rPr>
      </w:pPr>
      <w:r>
        <w:br w:type="page"/>
      </w:r>
    </w:p>
    <w:p w14:paraId="29D03C6D" w14:textId="6C095371" w:rsidR="005A4F2E" w:rsidRDefault="00000000">
      <w:pPr>
        <w:pStyle w:val="ExhibitTitle"/>
      </w:pPr>
      <w:r>
        <w:lastRenderedPageBreak/>
        <w:t>Exhibit 3. Illustrative service-expansion proposals</w:t>
      </w:r>
    </w:p>
    <w:tbl>
      <w:tblPr>
        <w:tblStyle w:val="TableGrid"/>
        <w:tblW w:w="0" w:type="auto"/>
        <w:jc w:val="center"/>
        <w:tblLook w:val="04A0" w:firstRow="1" w:lastRow="0" w:firstColumn="1" w:lastColumn="0" w:noHBand="0" w:noVBand="1"/>
      </w:tblPr>
      <w:tblGrid>
        <w:gridCol w:w="2880"/>
        <w:gridCol w:w="1224"/>
        <w:gridCol w:w="1152"/>
        <w:gridCol w:w="1728"/>
        <w:gridCol w:w="3168"/>
      </w:tblGrid>
      <w:tr w:rsidR="005A4F2E" w14:paraId="5BC7F98B" w14:textId="77777777">
        <w:trPr>
          <w:jc w:val="center"/>
        </w:trPr>
        <w:tc>
          <w:tcPr>
            <w:tcW w:w="2880" w:type="dxa"/>
            <w:shd w:val="clear" w:color="auto" w:fill="2F5597"/>
            <w:vAlign w:val="center"/>
          </w:tcPr>
          <w:p w14:paraId="34AAE5EF" w14:textId="77777777" w:rsidR="005A4F2E" w:rsidRDefault="00000000" w:rsidP="003F7C63">
            <w:r>
              <w:t>Proposal</w:t>
            </w:r>
          </w:p>
        </w:tc>
        <w:tc>
          <w:tcPr>
            <w:tcW w:w="1224" w:type="dxa"/>
            <w:shd w:val="clear" w:color="auto" w:fill="2F5597"/>
            <w:vAlign w:val="center"/>
          </w:tcPr>
          <w:p w14:paraId="1B43CE7A" w14:textId="77777777" w:rsidR="005A4F2E" w:rsidRDefault="00000000" w:rsidP="003F7C63">
            <w:r>
              <w:t>Annual cost</w:t>
            </w:r>
          </w:p>
        </w:tc>
        <w:tc>
          <w:tcPr>
            <w:tcW w:w="1152" w:type="dxa"/>
            <w:shd w:val="clear" w:color="auto" w:fill="2F5597"/>
            <w:vAlign w:val="center"/>
          </w:tcPr>
          <w:p w14:paraId="1354F132" w14:textId="77777777" w:rsidR="005A4F2E" w:rsidRDefault="00000000" w:rsidP="003F7C63">
            <w:r>
              <w:t>Staff required</w:t>
            </w:r>
          </w:p>
        </w:tc>
        <w:tc>
          <w:tcPr>
            <w:tcW w:w="1728" w:type="dxa"/>
            <w:shd w:val="clear" w:color="auto" w:fill="2F5597"/>
            <w:vAlign w:val="center"/>
          </w:tcPr>
          <w:p w14:paraId="3CB5BA98" w14:textId="77777777" w:rsidR="005A4F2E" w:rsidRDefault="00000000" w:rsidP="003F7C63">
            <w:r>
              <w:t>Estimated annual reach</w:t>
            </w:r>
          </w:p>
        </w:tc>
        <w:tc>
          <w:tcPr>
            <w:tcW w:w="3168" w:type="dxa"/>
            <w:shd w:val="clear" w:color="auto" w:fill="2F5597"/>
            <w:vAlign w:val="center"/>
          </w:tcPr>
          <w:p w14:paraId="22C4323C" w14:textId="77777777" w:rsidR="005A4F2E" w:rsidRDefault="00000000" w:rsidP="003F7C63">
            <w:r>
              <w:t>Funding fit</w:t>
            </w:r>
          </w:p>
        </w:tc>
      </w:tr>
      <w:tr w:rsidR="005A4F2E" w14:paraId="74A0705A" w14:textId="77777777">
        <w:trPr>
          <w:jc w:val="center"/>
        </w:trPr>
        <w:tc>
          <w:tcPr>
            <w:tcW w:w="2880" w:type="dxa"/>
            <w:vAlign w:val="center"/>
          </w:tcPr>
          <w:p w14:paraId="21BD29DB" w14:textId="77777777" w:rsidR="005A4F2E" w:rsidRDefault="00000000" w:rsidP="003F7C63">
            <w:r>
              <w:t>Maintain universal naloxone availability</w:t>
            </w:r>
          </w:p>
        </w:tc>
        <w:tc>
          <w:tcPr>
            <w:tcW w:w="1224" w:type="dxa"/>
            <w:vAlign w:val="center"/>
          </w:tcPr>
          <w:p w14:paraId="70FB80A9" w14:textId="77777777" w:rsidR="005A4F2E" w:rsidRDefault="00000000" w:rsidP="003F7C63">
            <w:r>
              <w:t>$7.2M</w:t>
            </w:r>
          </w:p>
        </w:tc>
        <w:tc>
          <w:tcPr>
            <w:tcW w:w="1152" w:type="dxa"/>
            <w:vAlign w:val="center"/>
          </w:tcPr>
          <w:p w14:paraId="7B83C5E2" w14:textId="77777777" w:rsidR="005A4F2E" w:rsidRDefault="00000000" w:rsidP="003F7C63">
            <w:r>
              <w:t>31</w:t>
            </w:r>
          </w:p>
        </w:tc>
        <w:tc>
          <w:tcPr>
            <w:tcW w:w="1728" w:type="dxa"/>
            <w:vAlign w:val="center"/>
          </w:tcPr>
          <w:p w14:paraId="094B5DED" w14:textId="77777777" w:rsidR="005A4F2E" w:rsidRDefault="00000000" w:rsidP="003F7C63">
            <w:r>
              <w:t>Additional 160,000 kits</w:t>
            </w:r>
          </w:p>
        </w:tc>
        <w:tc>
          <w:tcPr>
            <w:tcW w:w="3168" w:type="dxa"/>
            <w:vAlign w:val="center"/>
          </w:tcPr>
          <w:p w14:paraId="2B5EF317" w14:textId="77777777" w:rsidR="005A4F2E" w:rsidRDefault="00000000" w:rsidP="003F7C63">
            <w:r>
              <w:t>Strong SOR/settlement fit; weak Medicaid fit</w:t>
            </w:r>
          </w:p>
        </w:tc>
      </w:tr>
      <w:tr w:rsidR="005A4F2E" w14:paraId="4E03D7AD" w14:textId="77777777">
        <w:trPr>
          <w:jc w:val="center"/>
        </w:trPr>
        <w:tc>
          <w:tcPr>
            <w:tcW w:w="2880" w:type="dxa"/>
            <w:shd w:val="clear" w:color="auto" w:fill="EAF0F8"/>
            <w:vAlign w:val="center"/>
          </w:tcPr>
          <w:p w14:paraId="4A0312F9" w14:textId="77777777" w:rsidR="005A4F2E" w:rsidRDefault="00000000" w:rsidP="003F7C63">
            <w:r>
              <w:t>Expand same-day MOUD access</w:t>
            </w:r>
          </w:p>
        </w:tc>
        <w:tc>
          <w:tcPr>
            <w:tcW w:w="1224" w:type="dxa"/>
            <w:shd w:val="clear" w:color="auto" w:fill="EAF0F8"/>
            <w:vAlign w:val="center"/>
          </w:tcPr>
          <w:p w14:paraId="72FBB20C" w14:textId="77777777" w:rsidR="005A4F2E" w:rsidRDefault="00000000" w:rsidP="003F7C63">
            <w:r>
              <w:t>$10.8M</w:t>
            </w:r>
          </w:p>
        </w:tc>
        <w:tc>
          <w:tcPr>
            <w:tcW w:w="1152" w:type="dxa"/>
            <w:shd w:val="clear" w:color="auto" w:fill="EAF0F8"/>
            <w:vAlign w:val="center"/>
          </w:tcPr>
          <w:p w14:paraId="3CEA5D29" w14:textId="77777777" w:rsidR="005A4F2E" w:rsidRDefault="00000000" w:rsidP="003F7C63">
            <w:r>
              <w:t>49</w:t>
            </w:r>
          </w:p>
        </w:tc>
        <w:tc>
          <w:tcPr>
            <w:tcW w:w="1728" w:type="dxa"/>
            <w:shd w:val="clear" w:color="auto" w:fill="EAF0F8"/>
            <w:vAlign w:val="center"/>
          </w:tcPr>
          <w:p w14:paraId="0604CFD4" w14:textId="77777777" w:rsidR="005A4F2E" w:rsidRDefault="00000000" w:rsidP="003F7C63">
            <w:r>
              <w:t>3,200 additional treatment starts</w:t>
            </w:r>
          </w:p>
        </w:tc>
        <w:tc>
          <w:tcPr>
            <w:tcW w:w="3168" w:type="dxa"/>
            <w:shd w:val="clear" w:color="auto" w:fill="EAF0F8"/>
            <w:vAlign w:val="center"/>
          </w:tcPr>
          <w:p w14:paraId="01A5BB01" w14:textId="77777777" w:rsidR="005A4F2E" w:rsidRDefault="00000000" w:rsidP="003F7C63">
            <w:r>
              <w:t>SOR and Medicaid; clinical billing risk</w:t>
            </w:r>
          </w:p>
        </w:tc>
      </w:tr>
      <w:tr w:rsidR="005A4F2E" w14:paraId="31466B06" w14:textId="77777777">
        <w:trPr>
          <w:jc w:val="center"/>
        </w:trPr>
        <w:tc>
          <w:tcPr>
            <w:tcW w:w="2880" w:type="dxa"/>
            <w:vAlign w:val="center"/>
          </w:tcPr>
          <w:p w14:paraId="0475D82D" w14:textId="77777777" w:rsidR="005A4F2E" w:rsidRDefault="00000000" w:rsidP="003F7C63">
            <w:r>
              <w:t>Rural mobile recovery teams</w:t>
            </w:r>
          </w:p>
        </w:tc>
        <w:tc>
          <w:tcPr>
            <w:tcW w:w="1224" w:type="dxa"/>
            <w:vAlign w:val="center"/>
          </w:tcPr>
          <w:p w14:paraId="37F2EA80" w14:textId="77777777" w:rsidR="005A4F2E" w:rsidRDefault="00000000" w:rsidP="003F7C63">
            <w:r>
              <w:t>$8.6M</w:t>
            </w:r>
          </w:p>
        </w:tc>
        <w:tc>
          <w:tcPr>
            <w:tcW w:w="1152" w:type="dxa"/>
            <w:vAlign w:val="center"/>
          </w:tcPr>
          <w:p w14:paraId="7D1AF428" w14:textId="77777777" w:rsidR="005A4F2E" w:rsidRDefault="00000000" w:rsidP="003F7C63">
            <w:r>
              <w:t>42</w:t>
            </w:r>
          </w:p>
        </w:tc>
        <w:tc>
          <w:tcPr>
            <w:tcW w:w="1728" w:type="dxa"/>
            <w:vAlign w:val="center"/>
          </w:tcPr>
          <w:p w14:paraId="0E15A390" w14:textId="77777777" w:rsidR="005A4F2E" w:rsidRDefault="00000000" w:rsidP="003F7C63">
            <w:r>
              <w:t>2,100 clients across 19 counties</w:t>
            </w:r>
          </w:p>
        </w:tc>
        <w:tc>
          <w:tcPr>
            <w:tcW w:w="3168" w:type="dxa"/>
            <w:vAlign w:val="center"/>
          </w:tcPr>
          <w:p w14:paraId="6F3076B2" w14:textId="77777777" w:rsidR="005A4F2E" w:rsidRDefault="00000000" w:rsidP="003F7C63">
            <w:r>
              <w:t>Possible federal/state support; high unit cost</w:t>
            </w:r>
          </w:p>
        </w:tc>
      </w:tr>
      <w:tr w:rsidR="005A4F2E" w14:paraId="0A198665" w14:textId="77777777">
        <w:trPr>
          <w:jc w:val="center"/>
        </w:trPr>
        <w:tc>
          <w:tcPr>
            <w:tcW w:w="2880" w:type="dxa"/>
            <w:shd w:val="clear" w:color="auto" w:fill="EAF0F8"/>
            <w:vAlign w:val="center"/>
          </w:tcPr>
          <w:p w14:paraId="75848F6E" w14:textId="77777777" w:rsidR="005A4F2E" w:rsidRDefault="00000000" w:rsidP="003F7C63">
            <w:r>
              <w:t>Housing and employment stabilization</w:t>
            </w:r>
          </w:p>
        </w:tc>
        <w:tc>
          <w:tcPr>
            <w:tcW w:w="1224" w:type="dxa"/>
            <w:shd w:val="clear" w:color="auto" w:fill="EAF0F8"/>
            <w:vAlign w:val="center"/>
          </w:tcPr>
          <w:p w14:paraId="797F6F63" w14:textId="77777777" w:rsidR="005A4F2E" w:rsidRDefault="00000000" w:rsidP="003F7C63">
            <w:r>
              <w:t>$9.4M</w:t>
            </w:r>
          </w:p>
        </w:tc>
        <w:tc>
          <w:tcPr>
            <w:tcW w:w="1152" w:type="dxa"/>
            <w:shd w:val="clear" w:color="auto" w:fill="EAF0F8"/>
            <w:vAlign w:val="center"/>
          </w:tcPr>
          <w:p w14:paraId="28E10FB1" w14:textId="77777777" w:rsidR="005A4F2E" w:rsidRDefault="00000000" w:rsidP="003F7C63">
            <w:r>
              <w:t>37</w:t>
            </w:r>
          </w:p>
        </w:tc>
        <w:tc>
          <w:tcPr>
            <w:tcW w:w="1728" w:type="dxa"/>
            <w:shd w:val="clear" w:color="auto" w:fill="EAF0F8"/>
            <w:vAlign w:val="center"/>
          </w:tcPr>
          <w:p w14:paraId="5D23D456" w14:textId="77777777" w:rsidR="005A4F2E" w:rsidRDefault="00000000" w:rsidP="003F7C63">
            <w:r>
              <w:t>1,850 clients</w:t>
            </w:r>
          </w:p>
        </w:tc>
        <w:tc>
          <w:tcPr>
            <w:tcW w:w="3168" w:type="dxa"/>
            <w:shd w:val="clear" w:color="auto" w:fill="EAF0F8"/>
            <w:vAlign w:val="center"/>
          </w:tcPr>
          <w:p w14:paraId="4295DBAE" w14:textId="77777777" w:rsidR="005A4F2E" w:rsidRDefault="00000000" w:rsidP="003F7C63">
            <w:r>
              <w:t>Recovery grants/donors; eligibility and outcome attribution issues</w:t>
            </w:r>
          </w:p>
        </w:tc>
      </w:tr>
      <w:tr w:rsidR="005A4F2E" w14:paraId="050B4AD6" w14:textId="77777777">
        <w:trPr>
          <w:jc w:val="center"/>
        </w:trPr>
        <w:tc>
          <w:tcPr>
            <w:tcW w:w="2880" w:type="dxa"/>
            <w:vAlign w:val="center"/>
          </w:tcPr>
          <w:p w14:paraId="10457E8D" w14:textId="77777777" w:rsidR="005A4F2E" w:rsidRDefault="00000000" w:rsidP="003F7C63">
            <w:r>
              <w:t>Justice-to-treatment transitions</w:t>
            </w:r>
          </w:p>
        </w:tc>
        <w:tc>
          <w:tcPr>
            <w:tcW w:w="1224" w:type="dxa"/>
            <w:vAlign w:val="center"/>
          </w:tcPr>
          <w:p w14:paraId="5514A0FE" w14:textId="77777777" w:rsidR="005A4F2E" w:rsidRDefault="00000000" w:rsidP="003F7C63">
            <w:r>
              <w:t>$6.1M</w:t>
            </w:r>
          </w:p>
        </w:tc>
        <w:tc>
          <w:tcPr>
            <w:tcW w:w="1152" w:type="dxa"/>
            <w:vAlign w:val="center"/>
          </w:tcPr>
          <w:p w14:paraId="13710BD7" w14:textId="77777777" w:rsidR="005A4F2E" w:rsidRDefault="00000000" w:rsidP="003F7C63">
            <w:r>
              <w:t>28</w:t>
            </w:r>
          </w:p>
        </w:tc>
        <w:tc>
          <w:tcPr>
            <w:tcW w:w="1728" w:type="dxa"/>
            <w:vAlign w:val="center"/>
          </w:tcPr>
          <w:p w14:paraId="72DFE93B" w14:textId="77777777" w:rsidR="005A4F2E" w:rsidRDefault="00000000" w:rsidP="003F7C63">
            <w:r>
              <w:t>2,600 jail releases</w:t>
            </w:r>
          </w:p>
        </w:tc>
        <w:tc>
          <w:tcPr>
            <w:tcW w:w="3168" w:type="dxa"/>
            <w:vAlign w:val="center"/>
          </w:tcPr>
          <w:p w14:paraId="13036A22" w14:textId="77777777" w:rsidR="005A4F2E" w:rsidRDefault="00000000" w:rsidP="003F7C63">
            <w:r>
              <w:t>Targeted grants; interagency dependence</w:t>
            </w:r>
          </w:p>
        </w:tc>
      </w:tr>
      <w:tr w:rsidR="005A4F2E" w14:paraId="7D0FDBC4" w14:textId="77777777">
        <w:trPr>
          <w:jc w:val="center"/>
        </w:trPr>
        <w:tc>
          <w:tcPr>
            <w:tcW w:w="2880" w:type="dxa"/>
            <w:shd w:val="clear" w:color="auto" w:fill="EAF0F8"/>
            <w:vAlign w:val="center"/>
          </w:tcPr>
          <w:p w14:paraId="1D4294DD" w14:textId="77777777" w:rsidR="005A4F2E" w:rsidRDefault="00000000" w:rsidP="003F7C63">
            <w:r>
              <w:t>Youth and family prevention initiative</w:t>
            </w:r>
          </w:p>
        </w:tc>
        <w:tc>
          <w:tcPr>
            <w:tcW w:w="1224" w:type="dxa"/>
            <w:shd w:val="clear" w:color="auto" w:fill="EAF0F8"/>
            <w:vAlign w:val="center"/>
          </w:tcPr>
          <w:p w14:paraId="1E55A0B4" w14:textId="77777777" w:rsidR="005A4F2E" w:rsidRDefault="00000000" w:rsidP="003F7C63">
            <w:r>
              <w:t>$5.3M</w:t>
            </w:r>
          </w:p>
        </w:tc>
        <w:tc>
          <w:tcPr>
            <w:tcW w:w="1152" w:type="dxa"/>
            <w:shd w:val="clear" w:color="auto" w:fill="EAF0F8"/>
            <w:vAlign w:val="center"/>
          </w:tcPr>
          <w:p w14:paraId="5602D8A1" w14:textId="77777777" w:rsidR="005A4F2E" w:rsidRDefault="00000000" w:rsidP="003F7C63">
            <w:r>
              <w:t>24</w:t>
            </w:r>
          </w:p>
        </w:tc>
        <w:tc>
          <w:tcPr>
            <w:tcW w:w="1728" w:type="dxa"/>
            <w:shd w:val="clear" w:color="auto" w:fill="EAF0F8"/>
            <w:vAlign w:val="center"/>
          </w:tcPr>
          <w:p w14:paraId="463D7E04" w14:textId="77777777" w:rsidR="005A4F2E" w:rsidRDefault="00000000" w:rsidP="003F7C63">
            <w:r>
              <w:t>35,000 students/family members</w:t>
            </w:r>
          </w:p>
        </w:tc>
        <w:tc>
          <w:tcPr>
            <w:tcW w:w="3168" w:type="dxa"/>
            <w:shd w:val="clear" w:color="auto" w:fill="EAF0F8"/>
            <w:vAlign w:val="center"/>
          </w:tcPr>
          <w:p w14:paraId="40183E03" w14:textId="77777777" w:rsidR="005A4F2E" w:rsidRDefault="00000000" w:rsidP="003F7C63">
            <w:r>
              <w:t>Prevention grants and donors; benefits emerge slowly</w:t>
            </w:r>
          </w:p>
        </w:tc>
      </w:tr>
    </w:tbl>
    <w:p w14:paraId="646EF6DF" w14:textId="77777777" w:rsidR="005A4F2E" w:rsidRDefault="005A4F2E" w:rsidP="003F7C63"/>
    <w:p w14:paraId="1001AED8" w14:textId="77777777" w:rsidR="005A4F2E" w:rsidRDefault="00000000" w:rsidP="003F7C63">
      <w:r>
        <w:t>The proposals were not mutually exclusive, but the agency could not staff all of them under its central forecast. Furthermore, a dollar could not always be transferred from one program to another. A restricted grant might leave money unspent while the agency simultaneously laid off staff performing essential but ineligible work.</w:t>
      </w:r>
    </w:p>
    <w:p w14:paraId="2B9D422D" w14:textId="77777777" w:rsidR="005A4F2E" w:rsidRDefault="00000000" w:rsidP="003F7C63">
      <w:pPr>
        <w:pStyle w:val="Heading1"/>
      </w:pPr>
      <w:r>
        <w:t>The Funding Needle</w:t>
      </w:r>
    </w:p>
    <w:p w14:paraId="4B008A8B" w14:textId="77777777" w:rsidR="005A4F2E" w:rsidRDefault="00000000" w:rsidP="003F7C63">
      <w:r>
        <w:t>Marquez asked her team to develop options. None was simply a fundraising campaign.</w:t>
      </w:r>
    </w:p>
    <w:p w14:paraId="6ECFDA4C" w14:textId="77777777" w:rsidR="005A4F2E" w:rsidRDefault="00000000" w:rsidP="003F7C63">
      <w:r>
        <w:rPr>
          <w:b/>
        </w:rPr>
        <w:t xml:space="preserve">1. Protect the core workforce. </w:t>
      </w:r>
      <w:r>
        <w:t>Use state general funds and settlement dollars first for permanent staff, while assigning federal and philanthropic funds to variable program expenses. This could improve continuity but might be criticized as using flexible money for administration rather than visible services.</w:t>
      </w:r>
    </w:p>
    <w:p w14:paraId="36F693B7" w14:textId="77777777" w:rsidR="005A4F2E" w:rsidRDefault="00000000" w:rsidP="003F7C63">
      <w:r>
        <w:rPr>
          <w:b/>
        </w:rPr>
        <w:t xml:space="preserve">2. Organize around grant-funded initiatives. </w:t>
      </w:r>
      <w:r>
        <w:t>Restructure teams so positions and activities map directly to federal notices of funding opportunity. This might maximize award competitiveness but could fragment the continuum of care and cause priorities to change whenever federal language changed.</w:t>
      </w:r>
    </w:p>
    <w:p w14:paraId="2C8DA1EF" w14:textId="77777777" w:rsidR="005A4F2E" w:rsidRDefault="00000000" w:rsidP="003F7C63">
      <w:r>
        <w:rPr>
          <w:b/>
        </w:rPr>
        <w:t xml:space="preserve">3. Build a braided funding model. </w:t>
      </w:r>
      <w:r>
        <w:t>Support each service with multiple funding streams—for example, federal funds for outreach, Medicaid for clinical encounters, settlement funds for navigation, and donors for emergency assistance. Braiding could preserve services but would require sophisticated time allocation, cost accounting, eligibility screening, and audit controls.</w:t>
      </w:r>
    </w:p>
    <w:p w14:paraId="508A081E" w14:textId="77777777" w:rsidR="005A4F2E" w:rsidRDefault="00000000" w:rsidP="003F7C63">
      <w:r>
        <w:rPr>
          <w:b/>
        </w:rPr>
        <w:t xml:space="preserve">4. Transfer more delivery to local partners. </w:t>
      </w:r>
      <w:r>
        <w:t>Shrink the central workforce and distribute funds to counties, hospitals, nonprofits, and recovery organizations. Local groups might be closer to clients, but RDRS would lose operational control and still retain monitoring responsibilities. Smaller organizations might not have the cash flow or administrative capacity to manage reimbursement and federal compliance.</w:t>
      </w:r>
    </w:p>
    <w:p w14:paraId="5A664CE0" w14:textId="77777777" w:rsidR="005A4F2E" w:rsidRDefault="00000000" w:rsidP="003F7C63">
      <w:r>
        <w:rPr>
          <w:b/>
        </w:rPr>
        <w:t xml:space="preserve">5. Create a statewide recovery fund. </w:t>
      </w:r>
      <w:r>
        <w:t>Seek multiyear commitments from health systems, employers, insurers, foundations, and individual donors. A pooled fund could pay for gaps that government grants excluded, but private participants might demand governance rights, geographic preferences, or evidence of rapid impact.</w:t>
      </w:r>
    </w:p>
    <w:p w14:paraId="21A00F62" w14:textId="77777777" w:rsidR="005A4F2E" w:rsidRDefault="00000000" w:rsidP="003F7C63">
      <w:r>
        <w:rPr>
          <w:b/>
        </w:rPr>
        <w:lastRenderedPageBreak/>
        <w:t xml:space="preserve">6. Narrow the mission. </w:t>
      </w:r>
      <w:r>
        <w:t>Concentrate on naloxone, treatment access, and grant administration while reducing housing, employment, and long-term recovery functions. The agency could serve more people at the acute stage, but might weaken the supports intended to prevent repeated crises.</w:t>
      </w:r>
    </w:p>
    <w:p w14:paraId="147AEC8F" w14:textId="77777777" w:rsidR="005A4F2E" w:rsidRDefault="00000000" w:rsidP="003F7C63">
      <w:pPr>
        <w:pStyle w:val="Heading1"/>
      </w:pPr>
      <w:r>
        <w:t>The Measurement Problem</w:t>
      </w:r>
    </w:p>
    <w:p w14:paraId="4AD1E824" w14:textId="77777777" w:rsidR="005A4F2E" w:rsidRDefault="00000000" w:rsidP="003F7C63">
      <w:r>
        <w:t>The agency’s outcomes were difficult to attribute. A naloxone kit distributed was easy to count; a death prevented was not. Treatment initiation could be measured, but retention depended on providers, transportation, housing, insurance, and the drug supply. Employment outcomes might occur months after a grant ended. Declining deaths could reduce political urgency even if program capacity was responsible for part of the decline.</w:t>
      </w:r>
    </w:p>
    <w:p w14:paraId="71C37DC6" w14:textId="77777777" w:rsidR="005A4F2E" w:rsidRDefault="00000000" w:rsidP="003F7C63">
      <w:r>
        <w:t>Donors requested stories and near-term measures. Federal agencies required standardized outputs and subrecipient data. State budget officials wanted population-level outcomes and evidence that programs were not duplicative. Marquez’s staff worried that the agency would optimize what was fundable and countable rather than what clients needed.</w:t>
      </w:r>
    </w:p>
    <w:p w14:paraId="73BD06D1" w14:textId="77777777" w:rsidR="005A4F2E" w:rsidRDefault="00000000">
      <w:pPr>
        <w:pStyle w:val="ExhibitTitle"/>
      </w:pPr>
      <w:r>
        <w:t>Exhibit 4. Proposed FY2027 decision criteria</w:t>
      </w:r>
    </w:p>
    <w:tbl>
      <w:tblPr>
        <w:tblStyle w:val="TableGrid"/>
        <w:tblW w:w="0" w:type="auto"/>
        <w:jc w:val="center"/>
        <w:tblLook w:val="04A0" w:firstRow="1" w:lastRow="0" w:firstColumn="1" w:lastColumn="0" w:noHBand="0" w:noVBand="1"/>
      </w:tblPr>
      <w:tblGrid>
        <w:gridCol w:w="1800"/>
        <w:gridCol w:w="3312"/>
        <w:gridCol w:w="5112"/>
      </w:tblGrid>
      <w:tr w:rsidR="005A4F2E" w14:paraId="12B8F805" w14:textId="77777777">
        <w:trPr>
          <w:jc w:val="center"/>
        </w:trPr>
        <w:tc>
          <w:tcPr>
            <w:tcW w:w="1800" w:type="dxa"/>
            <w:shd w:val="clear" w:color="auto" w:fill="2F5597"/>
            <w:vAlign w:val="center"/>
          </w:tcPr>
          <w:p w14:paraId="35BB83BA" w14:textId="77777777" w:rsidR="005A4F2E" w:rsidRDefault="00000000" w:rsidP="003F7C63">
            <w:r>
              <w:t>Criterion</w:t>
            </w:r>
          </w:p>
        </w:tc>
        <w:tc>
          <w:tcPr>
            <w:tcW w:w="3312" w:type="dxa"/>
            <w:shd w:val="clear" w:color="auto" w:fill="2F5597"/>
            <w:vAlign w:val="center"/>
          </w:tcPr>
          <w:p w14:paraId="75B93D86" w14:textId="77777777" w:rsidR="005A4F2E" w:rsidRDefault="00000000" w:rsidP="003F7C63">
            <w:r>
              <w:t>Illustrative measure</w:t>
            </w:r>
          </w:p>
        </w:tc>
        <w:tc>
          <w:tcPr>
            <w:tcW w:w="5112" w:type="dxa"/>
            <w:shd w:val="clear" w:color="auto" w:fill="2F5597"/>
            <w:vAlign w:val="center"/>
          </w:tcPr>
          <w:p w14:paraId="5E7A3E68" w14:textId="77777777" w:rsidR="005A4F2E" w:rsidRDefault="00000000" w:rsidP="003F7C63">
            <w:r>
              <w:t>Unresolved question</w:t>
            </w:r>
          </w:p>
        </w:tc>
      </w:tr>
      <w:tr w:rsidR="005A4F2E" w14:paraId="13A2BA51" w14:textId="77777777">
        <w:trPr>
          <w:jc w:val="center"/>
        </w:trPr>
        <w:tc>
          <w:tcPr>
            <w:tcW w:w="1800" w:type="dxa"/>
            <w:vAlign w:val="center"/>
          </w:tcPr>
          <w:p w14:paraId="5D0FA24B" w14:textId="77777777" w:rsidR="005A4F2E" w:rsidRDefault="00000000" w:rsidP="003F7C63">
            <w:r>
              <w:t>Lives and health</w:t>
            </w:r>
          </w:p>
        </w:tc>
        <w:tc>
          <w:tcPr>
            <w:tcW w:w="3312" w:type="dxa"/>
            <w:vAlign w:val="center"/>
          </w:tcPr>
          <w:p w14:paraId="3BD20637" w14:textId="77777777" w:rsidR="005A4F2E" w:rsidRDefault="00000000" w:rsidP="003F7C63">
            <w:r>
              <w:t>Overdose deaths, nonfatal overdoses, treatment retention</w:t>
            </w:r>
          </w:p>
        </w:tc>
        <w:tc>
          <w:tcPr>
            <w:tcW w:w="5112" w:type="dxa"/>
            <w:vAlign w:val="center"/>
          </w:tcPr>
          <w:p w14:paraId="03454633" w14:textId="77777777" w:rsidR="005A4F2E" w:rsidRDefault="00000000" w:rsidP="003F7C63">
            <w:r>
              <w:t>How much change can be attributed to RDRS?</w:t>
            </w:r>
          </w:p>
        </w:tc>
      </w:tr>
      <w:tr w:rsidR="005A4F2E" w14:paraId="32F01B76" w14:textId="77777777">
        <w:trPr>
          <w:jc w:val="center"/>
        </w:trPr>
        <w:tc>
          <w:tcPr>
            <w:tcW w:w="1800" w:type="dxa"/>
            <w:shd w:val="clear" w:color="auto" w:fill="EAF0F8"/>
            <w:vAlign w:val="center"/>
          </w:tcPr>
          <w:p w14:paraId="64D27A36" w14:textId="77777777" w:rsidR="005A4F2E" w:rsidRDefault="00000000" w:rsidP="003F7C63">
            <w:r>
              <w:t>Access and equity</w:t>
            </w:r>
          </w:p>
        </w:tc>
        <w:tc>
          <w:tcPr>
            <w:tcW w:w="3312" w:type="dxa"/>
            <w:shd w:val="clear" w:color="auto" w:fill="EAF0F8"/>
            <w:vAlign w:val="center"/>
          </w:tcPr>
          <w:p w14:paraId="79A750B7" w14:textId="77777777" w:rsidR="005A4F2E" w:rsidRDefault="00000000" w:rsidP="003F7C63">
            <w:r>
              <w:t>Travel time, wait time, service rates by region and group</w:t>
            </w:r>
          </w:p>
        </w:tc>
        <w:tc>
          <w:tcPr>
            <w:tcW w:w="5112" w:type="dxa"/>
            <w:shd w:val="clear" w:color="auto" w:fill="EAF0F8"/>
            <w:vAlign w:val="center"/>
          </w:tcPr>
          <w:p w14:paraId="22D07A4A" w14:textId="77777777" w:rsidR="005A4F2E" w:rsidRDefault="00000000" w:rsidP="003F7C63">
            <w:r>
              <w:t>Should high-cost rural reach outweigh total volume?</w:t>
            </w:r>
          </w:p>
        </w:tc>
      </w:tr>
      <w:tr w:rsidR="005A4F2E" w14:paraId="5BBA6161" w14:textId="77777777">
        <w:trPr>
          <w:jc w:val="center"/>
        </w:trPr>
        <w:tc>
          <w:tcPr>
            <w:tcW w:w="1800" w:type="dxa"/>
            <w:vAlign w:val="center"/>
          </w:tcPr>
          <w:p w14:paraId="405A48A5" w14:textId="77777777" w:rsidR="005A4F2E" w:rsidRDefault="00000000" w:rsidP="003F7C63">
            <w:r>
              <w:t>Recovery stability</w:t>
            </w:r>
          </w:p>
        </w:tc>
        <w:tc>
          <w:tcPr>
            <w:tcW w:w="3312" w:type="dxa"/>
            <w:vAlign w:val="center"/>
          </w:tcPr>
          <w:p w14:paraId="62A1C66B" w14:textId="77777777" w:rsidR="005A4F2E" w:rsidRDefault="00000000" w:rsidP="003F7C63">
            <w:r>
              <w:t>Housing, employment, justice involvement, reconnecting with care</w:t>
            </w:r>
          </w:p>
        </w:tc>
        <w:tc>
          <w:tcPr>
            <w:tcW w:w="5112" w:type="dxa"/>
            <w:vAlign w:val="center"/>
          </w:tcPr>
          <w:p w14:paraId="7345E6F6" w14:textId="77777777" w:rsidR="005A4F2E" w:rsidRDefault="00000000" w:rsidP="003F7C63">
            <w:r>
              <w:t>Which outcomes belong within a health agency’s mission?</w:t>
            </w:r>
          </w:p>
        </w:tc>
      </w:tr>
      <w:tr w:rsidR="005A4F2E" w14:paraId="6DE7C4EA" w14:textId="77777777">
        <w:trPr>
          <w:jc w:val="center"/>
        </w:trPr>
        <w:tc>
          <w:tcPr>
            <w:tcW w:w="1800" w:type="dxa"/>
            <w:shd w:val="clear" w:color="auto" w:fill="EAF0F8"/>
            <w:vAlign w:val="center"/>
          </w:tcPr>
          <w:p w14:paraId="1836A360" w14:textId="77777777" w:rsidR="005A4F2E" w:rsidRDefault="00000000" w:rsidP="003F7C63">
            <w:r>
              <w:t>Financial resilience</w:t>
            </w:r>
          </w:p>
        </w:tc>
        <w:tc>
          <w:tcPr>
            <w:tcW w:w="3312" w:type="dxa"/>
            <w:shd w:val="clear" w:color="auto" w:fill="EAF0F8"/>
            <w:vAlign w:val="center"/>
          </w:tcPr>
          <w:p w14:paraId="03266B40" w14:textId="77777777" w:rsidR="005A4F2E" w:rsidRDefault="00000000" w:rsidP="003F7C63">
            <w:r>
              <w:t>Unrestricted months of payroll; concentration by funder</w:t>
            </w:r>
          </w:p>
        </w:tc>
        <w:tc>
          <w:tcPr>
            <w:tcW w:w="5112" w:type="dxa"/>
            <w:shd w:val="clear" w:color="auto" w:fill="EAF0F8"/>
            <w:vAlign w:val="center"/>
          </w:tcPr>
          <w:p w14:paraId="73ED33C3" w14:textId="77777777" w:rsidR="005A4F2E" w:rsidRDefault="00000000" w:rsidP="003F7C63">
            <w:r>
              <w:t>How much service should be sacrificed to build reserves?</w:t>
            </w:r>
          </w:p>
        </w:tc>
      </w:tr>
      <w:tr w:rsidR="005A4F2E" w14:paraId="3C9CFBE0" w14:textId="77777777">
        <w:trPr>
          <w:jc w:val="center"/>
        </w:trPr>
        <w:tc>
          <w:tcPr>
            <w:tcW w:w="1800" w:type="dxa"/>
            <w:vAlign w:val="center"/>
          </w:tcPr>
          <w:p w14:paraId="6F7A2656" w14:textId="77777777" w:rsidR="005A4F2E" w:rsidRDefault="00000000" w:rsidP="003F7C63">
            <w:r>
              <w:t>Workforce continuity</w:t>
            </w:r>
          </w:p>
        </w:tc>
        <w:tc>
          <w:tcPr>
            <w:tcW w:w="3312" w:type="dxa"/>
            <w:vAlign w:val="center"/>
          </w:tcPr>
          <w:p w14:paraId="3C1DAFA6" w14:textId="77777777" w:rsidR="005A4F2E" w:rsidRDefault="00000000" w:rsidP="003F7C63">
            <w:r>
              <w:t>Vacancies, turnover, grant-funded positions at risk</w:t>
            </w:r>
          </w:p>
        </w:tc>
        <w:tc>
          <w:tcPr>
            <w:tcW w:w="5112" w:type="dxa"/>
            <w:vAlign w:val="center"/>
          </w:tcPr>
          <w:p w14:paraId="59E83743" w14:textId="77777777" w:rsidR="005A4F2E" w:rsidRDefault="00000000" w:rsidP="003F7C63">
            <w:r>
              <w:t>Should permanent positions be supported by temporary funds?</w:t>
            </w:r>
          </w:p>
        </w:tc>
      </w:tr>
      <w:tr w:rsidR="005A4F2E" w14:paraId="71943B93" w14:textId="77777777">
        <w:trPr>
          <w:jc w:val="center"/>
        </w:trPr>
        <w:tc>
          <w:tcPr>
            <w:tcW w:w="1800" w:type="dxa"/>
            <w:shd w:val="clear" w:color="auto" w:fill="EAF0F8"/>
            <w:vAlign w:val="center"/>
          </w:tcPr>
          <w:p w14:paraId="6D77A7D9" w14:textId="77777777" w:rsidR="005A4F2E" w:rsidRDefault="00000000" w:rsidP="003F7C63">
            <w:r>
              <w:t>Compliance</w:t>
            </w:r>
          </w:p>
        </w:tc>
        <w:tc>
          <w:tcPr>
            <w:tcW w:w="3312" w:type="dxa"/>
            <w:shd w:val="clear" w:color="auto" w:fill="EAF0F8"/>
            <w:vAlign w:val="center"/>
          </w:tcPr>
          <w:p w14:paraId="226F2A1E" w14:textId="77777777" w:rsidR="005A4F2E" w:rsidRDefault="00000000" w:rsidP="003F7C63">
            <w:r>
              <w:t>Timely reports, audit findings, allowable-cost exceptions</w:t>
            </w:r>
          </w:p>
        </w:tc>
        <w:tc>
          <w:tcPr>
            <w:tcW w:w="5112" w:type="dxa"/>
            <w:shd w:val="clear" w:color="auto" w:fill="EAF0F8"/>
            <w:vAlign w:val="center"/>
          </w:tcPr>
          <w:p w14:paraId="1DAF8529" w14:textId="77777777" w:rsidR="005A4F2E" w:rsidRDefault="00000000" w:rsidP="003F7C63">
            <w:r>
              <w:t>How much administrative capacity is enough?</w:t>
            </w:r>
          </w:p>
        </w:tc>
      </w:tr>
    </w:tbl>
    <w:p w14:paraId="5EBE73C1" w14:textId="77777777" w:rsidR="005A4F2E" w:rsidRDefault="005A4F2E" w:rsidP="003F7C63"/>
    <w:p w14:paraId="4B6BAEF8" w14:textId="77777777" w:rsidR="005A4F2E" w:rsidRDefault="00000000" w:rsidP="003F7C63">
      <w:pPr>
        <w:pStyle w:val="Heading1"/>
      </w:pPr>
      <w:r>
        <w:t>The Retreat</w:t>
      </w:r>
    </w:p>
    <w:p w14:paraId="7D244398" w14:textId="77777777" w:rsidR="005A4F2E" w:rsidRDefault="00000000" w:rsidP="003F7C63">
      <w:r>
        <w:t>At the retreat, the chief medical officer supported protecting treatment and naloxone operations. “A lower death count is the result we wanted,” she said. “It is not evidence that the infrastructure is no longer needed.” The chief financial officer countered that the agency could not treat every continuation award as permanent revenue. He wanted a reserve equal to three months of payroll and a policy prohibiting new permanent hires without a durable funding source.</w:t>
      </w:r>
    </w:p>
    <w:p w14:paraId="734226CF" w14:textId="77777777" w:rsidR="005A4F2E" w:rsidRDefault="00000000" w:rsidP="003F7C63">
      <w:r>
        <w:t>The recovery director argued that the proposed reserve would be built by withholding services from people currently in crisis. The grants director warned that several federal applications would score poorly unless RDRS committed to the initiatives specified in the notices. A county commissioner said the state should stop designing programs from the capital and give counties flexible allocations. A foundation representative offered to convene donors, but cautioned that philanthropy could not replace government at scale.</w:t>
      </w:r>
    </w:p>
    <w:p w14:paraId="4BD7D87F" w14:textId="77777777" w:rsidR="005A4F2E" w:rsidRDefault="00000000" w:rsidP="003F7C63">
      <w:r>
        <w:t>Marquez wrote four questions on the board:</w:t>
      </w:r>
    </w:p>
    <w:p w14:paraId="32995F5F" w14:textId="77777777" w:rsidR="005A4F2E" w:rsidRDefault="00000000">
      <w:pPr>
        <w:pStyle w:val="Question"/>
        <w:ind w:left="360"/>
      </w:pPr>
      <w:r>
        <w:t>• What services constitute the nonnegotiable statewide platform?</w:t>
      </w:r>
    </w:p>
    <w:p w14:paraId="40EC942E" w14:textId="77777777" w:rsidR="005A4F2E" w:rsidRDefault="00000000">
      <w:pPr>
        <w:pStyle w:val="Question"/>
        <w:ind w:left="360"/>
      </w:pPr>
      <w:r>
        <w:t>• Which groups should receive priority when restricted funds cannot be redirected?</w:t>
      </w:r>
    </w:p>
    <w:p w14:paraId="4EFD8C4A" w14:textId="77777777" w:rsidR="005A4F2E" w:rsidRDefault="00000000">
      <w:pPr>
        <w:pStyle w:val="Question"/>
        <w:ind w:left="360"/>
      </w:pPr>
      <w:r>
        <w:t>• How much organizational capacity should be devoted to pursuing and complying with grants?</w:t>
      </w:r>
    </w:p>
    <w:p w14:paraId="6FFBDC14" w14:textId="77777777" w:rsidR="005A4F2E" w:rsidRDefault="00000000">
      <w:pPr>
        <w:pStyle w:val="Question"/>
        <w:ind w:left="360"/>
      </w:pPr>
      <w:r>
        <w:lastRenderedPageBreak/>
        <w:t>• What funding structure would allow RDRS to retain staff through changes in political priorities and program requirements?</w:t>
      </w:r>
    </w:p>
    <w:p w14:paraId="2C36EC5E" w14:textId="77777777" w:rsidR="005A4F2E" w:rsidRDefault="00000000" w:rsidP="003F7C63">
      <w:r>
        <w:t>The governor’s budget office expected RDRS’s recommendation in three weeks. Federal continuation notices might arrive before then—or several months later. Labor agreements required 90 days’ notice for certain layoffs. Naloxone orders had to be placed six months in advance to secure favorable pricing. Two major foundation proposals were due in November, but both required RDRS to identify a narrowly defined initiative and measurable three-year outcome.</w:t>
      </w:r>
    </w:p>
    <w:p w14:paraId="5216AACA" w14:textId="77777777" w:rsidR="005A4F2E" w:rsidRDefault="00000000" w:rsidP="003F7C63">
      <w:r>
        <w:t>Marquez could present a single strategy, a contingent plan tied to funding outcomes, or a portfolio of service and financing options. Whatever she proposed would reveal an implicit answer to a larger question: was RDRS an emergency-response organization, a treatment authority, a long-term recovery agency, or a financing and coordination platform for all three?</w:t>
      </w:r>
    </w:p>
    <w:p w14:paraId="774D530F" w14:textId="77777777" w:rsidR="00350E61" w:rsidRDefault="00350E61" w:rsidP="00350E61">
      <w:pPr>
        <w:pStyle w:val="Heading1"/>
      </w:pPr>
      <w:r>
        <w:t>Framing questions</w:t>
      </w:r>
    </w:p>
    <w:p w14:paraId="6C7869CC" w14:textId="77777777" w:rsidR="00350E61" w:rsidRDefault="00350E61" w:rsidP="00350E61">
      <w:pPr>
        <w:pStyle w:val="ListParagraph"/>
        <w:numPr>
          <w:ilvl w:val="0"/>
          <w:numId w:val="11"/>
        </w:numPr>
        <w:spacing w:after="80" w:line="247" w:lineRule="auto"/>
      </w:pPr>
      <w:r>
        <w:t xml:space="preserve">Identify the different metrics that can be used to evaluate every aspect of the performance of the system?  Organize these into a pyramid to indicate </w:t>
      </w:r>
      <w:proofErr w:type="gramStart"/>
      <w:r>
        <w:t>the relative</w:t>
      </w:r>
      <w:proofErr w:type="gramEnd"/>
      <w:r>
        <w:t xml:space="preserve"> importance, following the style given here.</w:t>
      </w:r>
    </w:p>
    <w:p w14:paraId="627FA0FB" w14:textId="77777777" w:rsidR="00350E61" w:rsidRDefault="00350E61" w:rsidP="00350E61">
      <w:pPr>
        <w:pStyle w:val="ListParagraph"/>
        <w:numPr>
          <w:ilvl w:val="0"/>
          <w:numId w:val="11"/>
        </w:numPr>
        <w:spacing w:after="80" w:line="247" w:lineRule="auto"/>
      </w:pPr>
      <w:r>
        <w:t xml:space="preserve">What are the types of decisions? Use the </w:t>
      </w:r>
      <w:hyperlink r:id="rId8" w:anchor="types-of-decision-settings" w:history="1">
        <w:r w:rsidRPr="00B20FB6">
          <w:rPr>
            <w:rStyle w:val="Hyperlink"/>
          </w:rPr>
          <w:t>list of decision types here as a guide</w:t>
        </w:r>
      </w:hyperlink>
      <w:r>
        <w:t xml:space="preserve">, illustrated by the </w:t>
      </w:r>
      <w:hyperlink r:id="rId9" w:anchor="from-apps-to-types" w:history="1">
        <w:r w:rsidRPr="00B20FB6">
          <w:rPr>
            <w:rStyle w:val="Hyperlink"/>
          </w:rPr>
          <w:t>applications here</w:t>
        </w:r>
      </w:hyperlink>
      <w:r>
        <w:t xml:space="preserve">.  </w:t>
      </w:r>
    </w:p>
    <w:p w14:paraId="554FB059" w14:textId="77777777" w:rsidR="00350E61" w:rsidRDefault="00350E61" w:rsidP="00350E61">
      <w:pPr>
        <w:pStyle w:val="ListParagraph"/>
        <w:numPr>
          <w:ilvl w:val="0"/>
          <w:numId w:val="11"/>
        </w:numPr>
        <w:spacing w:after="80" w:line="247" w:lineRule="auto"/>
      </w:pPr>
      <w:r>
        <w:t xml:space="preserve">Use the </w:t>
      </w:r>
      <w:hyperlink r:id="rId10" w:history="1">
        <w:r w:rsidRPr="00B20FB6">
          <w:rPr>
            <w:rStyle w:val="Hyperlink"/>
          </w:rPr>
          <w:t>interactive framing matrix here</w:t>
        </w:r>
      </w:hyperlink>
      <w:r>
        <w:t xml:space="preserve"> to fill out the performance metrics along the top (from most to least important) followed by the list of decisions (in any order).  Use your judgment to assess whether the impact of each decision on each metric is H (high impact), M (medium), L (low) or N (none).  Finally, use the resulting matrix to rank the decisions in terms of their impact on the most important metrics.</w:t>
      </w:r>
    </w:p>
    <w:p w14:paraId="6D2D2723" w14:textId="77777777" w:rsidR="00350E61" w:rsidRDefault="00350E61" w:rsidP="00350E61">
      <w:pPr>
        <w:pStyle w:val="ListParagraph"/>
        <w:numPr>
          <w:ilvl w:val="0"/>
          <w:numId w:val="11"/>
        </w:numPr>
        <w:spacing w:after="80" w:line="247" w:lineRule="auto"/>
      </w:pPr>
      <w:r>
        <w:t xml:space="preserve">What are the different sources of uncertainty?  Use the </w:t>
      </w:r>
      <w:hyperlink r:id="rId11" w:anchor="categories" w:history="1">
        <w:r w:rsidRPr="00B20FB6">
          <w:rPr>
            <w:rStyle w:val="Hyperlink"/>
          </w:rPr>
          <w:t>12 categories of uncertainty here as a guide</w:t>
        </w:r>
      </w:hyperlink>
      <w:r>
        <w:t>.</w:t>
      </w:r>
    </w:p>
    <w:p w14:paraId="78435DA0" w14:textId="77777777" w:rsidR="00350E61" w:rsidRDefault="00350E61" w:rsidP="00350E61">
      <w:pPr>
        <w:pStyle w:val="ListParagraph"/>
        <w:numPr>
          <w:ilvl w:val="0"/>
          <w:numId w:val="11"/>
        </w:numPr>
        <w:spacing w:after="80" w:line="247" w:lineRule="auto"/>
      </w:pPr>
      <w:r>
        <w:t>Repeat the exercise in (3), but this time using uncertainties instead of decisions.</w:t>
      </w:r>
    </w:p>
    <w:p w14:paraId="4B6BC354" w14:textId="77777777" w:rsidR="00350E61" w:rsidRDefault="00350E61" w:rsidP="00350E61">
      <w:pPr>
        <w:pStyle w:val="ListParagraph"/>
        <w:numPr>
          <w:ilvl w:val="1"/>
          <w:numId w:val="11"/>
        </w:numPr>
        <w:spacing w:after="80" w:line="247" w:lineRule="auto"/>
      </w:pPr>
      <w:r>
        <w:t>Which sources of uncertainty would be captured using average performance over time?</w:t>
      </w:r>
    </w:p>
    <w:p w14:paraId="00313F44" w14:textId="77777777" w:rsidR="00350E61" w:rsidRDefault="00350E61" w:rsidP="00350E61">
      <w:pPr>
        <w:pStyle w:val="ListParagraph"/>
        <w:numPr>
          <w:ilvl w:val="1"/>
          <w:numId w:val="11"/>
        </w:numPr>
        <w:spacing w:after="80" w:line="247" w:lineRule="auto"/>
      </w:pPr>
      <w:r>
        <w:t>Which sources of uncertainty represent forms of risk that are not properly captured using averages?</w:t>
      </w:r>
    </w:p>
    <w:p w14:paraId="7C54CDB2" w14:textId="77777777" w:rsidR="00350E61" w:rsidRDefault="00350E61" w:rsidP="00350E61">
      <w:pPr>
        <w:pStyle w:val="ListParagraph"/>
        <w:numPr>
          <w:ilvl w:val="0"/>
          <w:numId w:val="11"/>
        </w:numPr>
        <w:spacing w:after="80" w:line="247" w:lineRule="auto"/>
      </w:pPr>
      <w:r>
        <w:t xml:space="preserve">Choose the single decision that seems to have the highest impact on the most important metric.  </w:t>
      </w:r>
    </w:p>
    <w:p w14:paraId="5C641622" w14:textId="77777777" w:rsidR="00350E61" w:rsidRDefault="00350E61" w:rsidP="00350E61">
      <w:pPr>
        <w:pStyle w:val="ListParagraph"/>
        <w:numPr>
          <w:ilvl w:val="1"/>
          <w:numId w:val="11"/>
        </w:numPr>
        <w:spacing w:after="80" w:line="247" w:lineRule="auto"/>
      </w:pPr>
      <w:r>
        <w:t>What approach do you think you would use to make this decision?</w:t>
      </w:r>
    </w:p>
    <w:p w14:paraId="06B1F0F2" w14:textId="77777777" w:rsidR="00350E61" w:rsidRDefault="00350E61" w:rsidP="00350E61">
      <w:pPr>
        <w:pStyle w:val="ListParagraph"/>
        <w:numPr>
          <w:ilvl w:val="1"/>
          <w:numId w:val="11"/>
        </w:numPr>
        <w:spacing w:after="80" w:line="247" w:lineRule="auto"/>
      </w:pPr>
      <w:r>
        <w:t>What data appears to be necessary to make this decision, including the calculation of any performance metrics where the decision would have a high or medium impact.</w:t>
      </w:r>
    </w:p>
    <w:p w14:paraId="7375182D" w14:textId="77777777" w:rsidR="00350E61" w:rsidRDefault="00350E61" w:rsidP="00350E61">
      <w:pPr>
        <w:pStyle w:val="ListParagraph"/>
        <w:numPr>
          <w:ilvl w:val="0"/>
          <w:numId w:val="11"/>
        </w:numPr>
        <w:spacing w:after="80" w:line="247" w:lineRule="auto"/>
      </w:pPr>
      <w:r>
        <w:t xml:space="preserve">Using the same </w:t>
      </w:r>
      <w:proofErr w:type="gramStart"/>
      <w:r>
        <w:t>decision</w:t>
      </w:r>
      <w:proofErr w:type="gramEnd"/>
      <w:r>
        <w:t xml:space="preserve"> you identified in (6), identify the people, departments, groups or organizations that you would need to work with to implement the decision?</w:t>
      </w:r>
    </w:p>
    <w:p w14:paraId="4AA2DCA7" w14:textId="77777777" w:rsidR="005A4F2E" w:rsidRDefault="00000000" w:rsidP="003F7C63">
      <w:pPr>
        <w:pStyle w:val="Heading1"/>
      </w:pPr>
      <w:r>
        <w:t>Discussion Questions</w:t>
      </w:r>
    </w:p>
    <w:p w14:paraId="64F7C144" w14:textId="3BD60CE0" w:rsidR="005A4F2E" w:rsidRPr="00350E61" w:rsidRDefault="00000000" w:rsidP="00350E61">
      <w:pPr>
        <w:pStyle w:val="Question"/>
        <w:numPr>
          <w:ilvl w:val="0"/>
          <w:numId w:val="13"/>
        </w:numPr>
        <w:rPr>
          <w:sz w:val="22"/>
        </w:rPr>
      </w:pPr>
      <w:r w:rsidRPr="00350E61">
        <w:rPr>
          <w:sz w:val="22"/>
        </w:rPr>
        <w:t>What is the decision facing Commissioner Marquez? Which decisions are strategic, and which are operational?</w:t>
      </w:r>
    </w:p>
    <w:p w14:paraId="0FBE3C4D" w14:textId="402F0BF2" w:rsidR="005A4F2E" w:rsidRPr="00350E61" w:rsidRDefault="00000000" w:rsidP="00350E61">
      <w:pPr>
        <w:pStyle w:val="Question"/>
        <w:numPr>
          <w:ilvl w:val="0"/>
          <w:numId w:val="13"/>
        </w:numPr>
        <w:rPr>
          <w:sz w:val="22"/>
        </w:rPr>
      </w:pPr>
      <w:r w:rsidRPr="00350E61">
        <w:rPr>
          <w:sz w:val="22"/>
        </w:rPr>
        <w:t>How should RDRS distinguish its core operating platform from grant-funded initiatives?</w:t>
      </w:r>
    </w:p>
    <w:p w14:paraId="101C0D59" w14:textId="67EA297D" w:rsidR="005A4F2E" w:rsidRPr="00350E61" w:rsidRDefault="00000000" w:rsidP="00350E61">
      <w:pPr>
        <w:pStyle w:val="Question"/>
        <w:numPr>
          <w:ilvl w:val="0"/>
          <w:numId w:val="13"/>
        </w:numPr>
        <w:rPr>
          <w:sz w:val="22"/>
        </w:rPr>
      </w:pPr>
      <w:r w:rsidRPr="00350E61">
        <w:rPr>
          <w:sz w:val="22"/>
        </w:rPr>
        <w:t>Which populations or services should receive priority if the central FY2027 funding scenario occurs?</w:t>
      </w:r>
    </w:p>
    <w:p w14:paraId="1F38CBBA" w14:textId="1D4693CD" w:rsidR="005A4F2E" w:rsidRPr="00350E61" w:rsidRDefault="00000000" w:rsidP="00350E61">
      <w:pPr>
        <w:pStyle w:val="Question"/>
        <w:numPr>
          <w:ilvl w:val="0"/>
          <w:numId w:val="13"/>
        </w:numPr>
        <w:rPr>
          <w:sz w:val="22"/>
        </w:rPr>
      </w:pPr>
      <w:r w:rsidRPr="00350E61">
        <w:rPr>
          <w:sz w:val="22"/>
        </w:rPr>
        <w:t>How should the agency evaluate universal naloxone distribution relative to treatment and long-term recovery support?</w:t>
      </w:r>
    </w:p>
    <w:p w14:paraId="60EC617B" w14:textId="37A0EED3" w:rsidR="005A4F2E" w:rsidRPr="00350E61" w:rsidRDefault="00000000" w:rsidP="00350E61">
      <w:pPr>
        <w:pStyle w:val="Question"/>
        <w:numPr>
          <w:ilvl w:val="0"/>
          <w:numId w:val="13"/>
        </w:numPr>
        <w:rPr>
          <w:sz w:val="22"/>
        </w:rPr>
      </w:pPr>
      <w:r w:rsidRPr="00350E61">
        <w:rPr>
          <w:sz w:val="22"/>
        </w:rPr>
        <w:t>What are the advantages and risks of braided funding? What administrative capabilities would it require?</w:t>
      </w:r>
    </w:p>
    <w:p w14:paraId="67648D63" w14:textId="33F6D5D7" w:rsidR="005A4F2E" w:rsidRPr="00350E61" w:rsidRDefault="00000000" w:rsidP="00350E61">
      <w:pPr>
        <w:pStyle w:val="Question"/>
        <w:numPr>
          <w:ilvl w:val="0"/>
          <w:numId w:val="13"/>
        </w:numPr>
        <w:rPr>
          <w:sz w:val="22"/>
        </w:rPr>
      </w:pPr>
      <w:r w:rsidRPr="00350E61">
        <w:rPr>
          <w:sz w:val="22"/>
        </w:rPr>
        <w:t>Should declining overdose deaths strengthen or weaken the case for continued funding?</w:t>
      </w:r>
    </w:p>
    <w:p w14:paraId="179109C6" w14:textId="1F7673FF" w:rsidR="005A4F2E" w:rsidRPr="00350E61" w:rsidRDefault="00000000" w:rsidP="00350E61">
      <w:pPr>
        <w:pStyle w:val="Question"/>
        <w:numPr>
          <w:ilvl w:val="0"/>
          <w:numId w:val="13"/>
        </w:numPr>
        <w:rPr>
          <w:sz w:val="22"/>
        </w:rPr>
      </w:pPr>
      <w:r w:rsidRPr="00350E61">
        <w:rPr>
          <w:sz w:val="22"/>
        </w:rPr>
        <w:t>Which metrics should RDRS use when outcomes are delayed, difficult to attribute, or not fully observable?</w:t>
      </w:r>
    </w:p>
    <w:p w14:paraId="3230BF9B" w14:textId="1E4CBDC7" w:rsidR="005A4F2E" w:rsidRPr="00350E61" w:rsidRDefault="00000000" w:rsidP="00350E61">
      <w:pPr>
        <w:pStyle w:val="Question"/>
        <w:numPr>
          <w:ilvl w:val="0"/>
          <w:numId w:val="13"/>
        </w:numPr>
        <w:rPr>
          <w:sz w:val="22"/>
        </w:rPr>
      </w:pPr>
      <w:r w:rsidRPr="00350E61">
        <w:rPr>
          <w:sz w:val="22"/>
        </w:rPr>
        <w:t>How much financial reserve should a public agency hold when doing so may reduce current services?</w:t>
      </w:r>
    </w:p>
    <w:p w14:paraId="13336C83" w14:textId="0119415B" w:rsidR="005A4F2E" w:rsidRPr="00350E61" w:rsidRDefault="00000000" w:rsidP="00350E61">
      <w:pPr>
        <w:pStyle w:val="Question"/>
        <w:numPr>
          <w:ilvl w:val="0"/>
          <w:numId w:val="13"/>
        </w:numPr>
        <w:rPr>
          <w:sz w:val="22"/>
        </w:rPr>
      </w:pPr>
      <w:r w:rsidRPr="00350E61">
        <w:rPr>
          <w:sz w:val="22"/>
        </w:rPr>
        <w:lastRenderedPageBreak/>
        <w:t>What role should counties, health systems, employers, insurers, and private donors play?</w:t>
      </w:r>
    </w:p>
    <w:p w14:paraId="36D690D7" w14:textId="40ECED2A" w:rsidR="005A4F2E" w:rsidRPr="00350E61" w:rsidRDefault="00000000" w:rsidP="00350E61">
      <w:pPr>
        <w:pStyle w:val="Question"/>
        <w:numPr>
          <w:ilvl w:val="0"/>
          <w:numId w:val="13"/>
        </w:numPr>
        <w:rPr>
          <w:sz w:val="22"/>
        </w:rPr>
      </w:pPr>
      <w:r w:rsidRPr="00350E61">
        <w:rPr>
          <w:sz w:val="22"/>
        </w:rPr>
        <w:t>Design a process for investigating alternatives before the governor’s three-week deadline. What information has the highest value?</w:t>
      </w:r>
    </w:p>
    <w:p w14:paraId="607F6B3C" w14:textId="77777777" w:rsidR="005A4F2E" w:rsidRDefault="00000000" w:rsidP="003F7C63">
      <w:pPr>
        <w:pStyle w:val="Heading1"/>
      </w:pPr>
      <w:r>
        <w:t>Public Data and Funding Notes</w:t>
      </w:r>
    </w:p>
    <w:p w14:paraId="1341C28D" w14:textId="77777777" w:rsidR="005A4F2E" w:rsidRDefault="00000000">
      <w:pPr>
        <w:pStyle w:val="SourceNote"/>
        <w:ind w:left="216" w:hanging="216"/>
      </w:pPr>
      <w:r>
        <w:t>• CDC, “Data Resources | Overdose Prevention,” preliminary estimate of 69,973 U.S. drug overdose deaths for the 12 months ending December 2025, a 13.9% decline from the previous year (May 2026 release).</w:t>
      </w:r>
    </w:p>
    <w:p w14:paraId="5CD16853" w14:textId="77777777" w:rsidR="005A4F2E" w:rsidRDefault="00000000">
      <w:pPr>
        <w:pStyle w:val="SourceNote"/>
        <w:ind w:left="216" w:hanging="216"/>
      </w:pPr>
      <w:r>
        <w:t>• CDC/NCHS, “Drug Overdose Deaths in the United States, 2023–2024,” reporting 54,045 opioid-involved deaths in 2024 and 47,735 involving synthetic opioids other than methadone.</w:t>
      </w:r>
    </w:p>
    <w:p w14:paraId="689C0E78" w14:textId="77777777" w:rsidR="005A4F2E" w:rsidRDefault="00000000">
      <w:pPr>
        <w:pStyle w:val="SourceNote"/>
        <w:ind w:left="216" w:hanging="216"/>
      </w:pPr>
      <w:r>
        <w:t>• SAMHSA, 2024 National Survey on Drug Use and Health, reporting 4.8 million people aged 12 or older with past-year opioid use disorder and 818,000 (17.0%) receiving medications for opioid use disorder.</w:t>
      </w:r>
    </w:p>
    <w:p w14:paraId="45E3F506" w14:textId="77777777" w:rsidR="005A4F2E" w:rsidRDefault="00000000">
      <w:pPr>
        <w:pStyle w:val="SourceNote"/>
        <w:ind w:left="216" w:hanging="216"/>
      </w:pPr>
      <w:r>
        <w:t>• SAMHSA, FY2024 State Opioid Response Grants (TI-24-008): anticipated total available funding of $1.4805 billion, up to 59 awards, with continuation dependent on funding availability, performance, reporting, and compliance.</w:t>
      </w:r>
    </w:p>
    <w:p w14:paraId="553BC271" w14:textId="77777777" w:rsidR="005A4F2E" w:rsidRDefault="00000000">
      <w:pPr>
        <w:pStyle w:val="SourceNote"/>
        <w:ind w:left="216" w:hanging="216"/>
      </w:pPr>
      <w:r>
        <w:t>• HHS, September 22, 2025, announcement of more than $1.5 billion in FY2025 State and Tribal Opioid Response continuation awards.</w:t>
      </w:r>
    </w:p>
    <w:p w14:paraId="709F4C07" w14:textId="77777777" w:rsidR="005A4F2E" w:rsidRDefault="00000000">
      <w:pPr>
        <w:pStyle w:val="SourceNote"/>
        <w:ind w:left="216" w:hanging="216"/>
      </w:pPr>
      <w:r>
        <w:t>• U.S. GAO, GAO-25-106944, “Opioid Use Disorder Grants,” describing reporting burdens, funding and procurement delays, shortened implementation windows, and requirements concerning ultimate recipients.</w:t>
      </w:r>
    </w:p>
    <w:p w14:paraId="2A34A6B9" w14:textId="77777777" w:rsidR="005A4F2E" w:rsidRDefault="00000000">
      <w:pPr>
        <w:pStyle w:val="SourceNote"/>
        <w:ind w:left="216" w:hanging="216"/>
      </w:pPr>
      <w:r>
        <w:t>• CDC, “Reverse Opioid Overdose to Prevent Death,” describing naloxone as a medication that can reverse opioid overdose when administered in time.</w:t>
      </w:r>
    </w:p>
    <w:p w14:paraId="7405D011" w14:textId="77777777" w:rsidR="006466FC" w:rsidRDefault="006466FC" w:rsidP="003F7C63">
      <w:pPr>
        <w:rPr>
          <w:rFonts w:asciiTheme="majorHAnsi" w:eastAsiaTheme="majorEastAsia" w:hAnsiTheme="majorHAnsi" w:cstheme="majorBidi"/>
          <w:color w:val="17365D"/>
          <w:sz w:val="28"/>
          <w:szCs w:val="28"/>
        </w:rPr>
      </w:pPr>
      <w:r>
        <w:br w:type="page"/>
      </w:r>
    </w:p>
    <w:p w14:paraId="3122CAD8" w14:textId="63EC1C48" w:rsidR="006466FC" w:rsidRDefault="006466FC" w:rsidP="003F7C63">
      <w:pPr>
        <w:pStyle w:val="Heading1"/>
      </w:pPr>
      <w:r>
        <w:lastRenderedPageBreak/>
        <w:t>ChatGPT comments</w:t>
      </w:r>
    </w:p>
    <w:p w14:paraId="44DC717C" w14:textId="7370608D" w:rsidR="003F7C63" w:rsidRDefault="003F7C63" w:rsidP="003F7C63">
      <w:pPr>
        <w:pStyle w:val="Heading2"/>
      </w:pPr>
      <w:r>
        <w:t>Prompt</w:t>
      </w:r>
    </w:p>
    <w:p w14:paraId="035F8422" w14:textId="4F14FC32" w:rsidR="003F7C63" w:rsidRDefault="003F7C63" w:rsidP="003F7C63">
      <w:r w:rsidRPr="003F7C63">
        <w:t xml:space="preserve">Create a </w:t>
      </w:r>
      <w:proofErr w:type="gramStart"/>
      <w:r w:rsidRPr="003F7C63">
        <w:t>4-6 page</w:t>
      </w:r>
      <w:proofErr w:type="gramEnd"/>
      <w:r w:rsidRPr="003F7C63">
        <w:t xml:space="preserve"> case study describing the challenges faced by a state health agency dealing with addiction which needs to raise funding to support its operations. The main cost is its </w:t>
      </w:r>
      <w:proofErr w:type="gramStart"/>
      <w:r w:rsidRPr="003F7C63">
        <w:t>staff</w:t>
      </w:r>
      <w:proofErr w:type="gramEnd"/>
      <w:r w:rsidRPr="003F7C63">
        <w:t xml:space="preserve"> which is responsible for distributing naloxone kits, treating addiction and helping people get back on their feet. The agency needs to balance which groups it can serve, with the challenge of threading the funding needle of federal and state agencies along with local donors. Government funding is </w:t>
      </w:r>
      <w:proofErr w:type="gramStart"/>
      <w:r w:rsidRPr="003F7C63">
        <w:t>uncertain, and</w:t>
      </w:r>
      <w:proofErr w:type="gramEnd"/>
      <w:r w:rsidRPr="003F7C63">
        <w:t xml:space="preserve"> comes with requirements to undertake specific initiatives. Support your summary with statistics on addiction and changes in government funding.</w:t>
      </w:r>
    </w:p>
    <w:p w14:paraId="3927117C" w14:textId="58CB5A3A" w:rsidR="003F7C63" w:rsidRPr="003F7C63" w:rsidRDefault="003F7C63" w:rsidP="003F7C63">
      <w:pPr>
        <w:pStyle w:val="Heading2"/>
      </w:pPr>
      <w:r>
        <w:t>Summary</w:t>
      </w:r>
    </w:p>
    <w:p w14:paraId="31339699" w14:textId="07BEFC29" w:rsidR="006466FC" w:rsidRPr="003F7C63" w:rsidRDefault="006466FC" w:rsidP="003F7C63">
      <w:r w:rsidRPr="003F7C63">
        <w:t>The case presents a fictional state addiction agency trying to preserve its staff and balance naloxone distribution, addiction treatment, and long-term recovery support while assembling restricted federal grants, state appropriations, opioid-settlement funds, Medicaid revenue, and private donations.</w:t>
      </w:r>
    </w:p>
    <w:p w14:paraId="23252E7F" w14:textId="77777777" w:rsidR="006466FC" w:rsidRPr="006466FC" w:rsidRDefault="006466FC" w:rsidP="003F7C63">
      <w:r w:rsidRPr="006466FC">
        <w:t>It includes:</w:t>
      </w:r>
    </w:p>
    <w:p w14:paraId="6475797A" w14:textId="77777777" w:rsidR="006466FC" w:rsidRPr="006466FC" w:rsidRDefault="006466FC" w:rsidP="003F7C63">
      <w:pPr>
        <w:pStyle w:val="ListParagraph"/>
        <w:numPr>
          <w:ilvl w:val="0"/>
          <w:numId w:val="10"/>
        </w:numPr>
      </w:pPr>
      <w:r w:rsidRPr="006466FC">
        <w:t xml:space="preserve">A $118 million operating budget and 506-person workforce </w:t>
      </w:r>
    </w:p>
    <w:p w14:paraId="09C23822" w14:textId="77777777" w:rsidR="006466FC" w:rsidRPr="006466FC" w:rsidRDefault="006466FC" w:rsidP="003F7C63">
      <w:pPr>
        <w:pStyle w:val="ListParagraph"/>
        <w:numPr>
          <w:ilvl w:val="0"/>
          <w:numId w:val="10"/>
        </w:numPr>
      </w:pPr>
      <w:r w:rsidRPr="006466FC">
        <w:t xml:space="preserve">Alternative funding scenarios and </w:t>
      </w:r>
      <w:proofErr w:type="gramStart"/>
      <w:r w:rsidRPr="006466FC">
        <w:t>an</w:t>
      </w:r>
      <w:proofErr w:type="gramEnd"/>
      <w:r w:rsidRPr="006466FC">
        <w:t xml:space="preserve"> $18.6 million projected shortfall </w:t>
      </w:r>
    </w:p>
    <w:p w14:paraId="7AF018A9" w14:textId="77777777" w:rsidR="006466FC" w:rsidRPr="006466FC" w:rsidRDefault="006466FC" w:rsidP="003F7C63">
      <w:pPr>
        <w:pStyle w:val="ListParagraph"/>
        <w:numPr>
          <w:ilvl w:val="0"/>
          <w:numId w:val="10"/>
        </w:numPr>
      </w:pPr>
      <w:r w:rsidRPr="006466FC">
        <w:t xml:space="preserve">Competing proposals for serving rural communities, justice-involved people, families, and people needing housing or employment assistance </w:t>
      </w:r>
    </w:p>
    <w:p w14:paraId="67EF00F4" w14:textId="77777777" w:rsidR="006466FC" w:rsidRPr="006466FC" w:rsidRDefault="006466FC" w:rsidP="003F7C63">
      <w:pPr>
        <w:pStyle w:val="ListParagraph"/>
        <w:numPr>
          <w:ilvl w:val="0"/>
          <w:numId w:val="10"/>
        </w:numPr>
      </w:pPr>
      <w:r w:rsidRPr="006466FC">
        <w:t xml:space="preserve">Federal grant restrictions, reporting burdens, and funding-timing uncertainty </w:t>
      </w:r>
    </w:p>
    <w:p w14:paraId="570490B1" w14:textId="77777777" w:rsidR="006466FC" w:rsidRPr="006466FC" w:rsidRDefault="006466FC" w:rsidP="003F7C63">
      <w:pPr>
        <w:pStyle w:val="ListParagraph"/>
        <w:numPr>
          <w:ilvl w:val="0"/>
          <w:numId w:val="10"/>
        </w:numPr>
      </w:pPr>
      <w:r w:rsidRPr="006466FC">
        <w:t xml:space="preserve">Quantitative exhibits and ten discussion questions </w:t>
      </w:r>
    </w:p>
    <w:p w14:paraId="652FC066" w14:textId="77777777" w:rsidR="006466FC" w:rsidRPr="006466FC" w:rsidRDefault="006466FC" w:rsidP="003F7C63">
      <w:pPr>
        <w:pStyle w:val="ListParagraph"/>
        <w:numPr>
          <w:ilvl w:val="0"/>
          <w:numId w:val="10"/>
        </w:numPr>
      </w:pPr>
      <w:r w:rsidRPr="006466FC">
        <w:t xml:space="preserve">No clearly preferred solution </w:t>
      </w:r>
    </w:p>
    <w:p w14:paraId="73F4EAAF" w14:textId="77777777" w:rsidR="006466FC" w:rsidRPr="006466FC" w:rsidRDefault="006466FC" w:rsidP="003F7C63">
      <w:r w:rsidRPr="006466FC">
        <w:t>The public-health context uses current CDC and SAMHSA statistics, including preliminary estimates of approximately 69,973 U.S. overdose deaths during 2025 and the finding that only 17% of the estimated 4.8 million people with opioid-use disorder received medication treatment in 2024. Federal funding information draws on the $1.4805 billion FY2024 State Opioid Response grant announcement, more than $1.5 billion in FY2025 continuation awards, and GAO findings on grant delays and reporting burdens.</w:t>
      </w:r>
    </w:p>
    <w:p w14:paraId="517B890E" w14:textId="77777777" w:rsidR="006466FC" w:rsidRPr="006466FC" w:rsidRDefault="006466FC" w:rsidP="003F7C63"/>
    <w:sectPr w:rsidR="006466FC" w:rsidRPr="006466FC" w:rsidSect="00034616">
      <w:headerReference w:type="even" r:id="rId12"/>
      <w:headerReference w:type="default" r:id="rId13"/>
      <w:footerReference w:type="even" r:id="rId14"/>
      <w:footerReference w:type="default" r:id="rId15"/>
      <w:headerReference w:type="first" r:id="rId16"/>
      <w:footerReference w:type="first" r:id="rId17"/>
      <w:pgSz w:w="12240" w:h="15840"/>
      <w:pgMar w:top="835"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55B6E" w14:textId="77777777" w:rsidR="007E384A" w:rsidRDefault="007E384A" w:rsidP="003F7C63">
      <w:r>
        <w:separator/>
      </w:r>
    </w:p>
  </w:endnote>
  <w:endnote w:type="continuationSeparator" w:id="0">
    <w:p w14:paraId="2D3229C9" w14:textId="77777777" w:rsidR="007E384A" w:rsidRDefault="007E384A" w:rsidP="003F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7F2A1" w14:textId="77777777" w:rsidR="00C51046" w:rsidRDefault="00C510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ADDF1" w14:textId="77777777" w:rsidR="005A4F2E" w:rsidRDefault="00000000" w:rsidP="003F7C63">
    <w:pPr>
      <w:pStyle w:val="Footer"/>
    </w:pPr>
    <w:r>
      <w:t xml:space="preserve">Teaching </w:t>
    </w:r>
    <w:proofErr w:type="gramStart"/>
    <w:r>
      <w:t>case  |</w:t>
    </w:r>
    <w:proofErr w:type="gramEnd"/>
    <w:r>
      <w:t xml:space="preserve">  Page </w:t>
    </w:r>
    <w:r>
      <w:fldChar w:fldCharType="begin"/>
    </w:r>
    <w:r>
      <w:instrText xml:space="preserve"> PAGE </w:instrText>
    </w:r>
    <w:r>
      <w:fldChar w:fldCharType="separate"/>
    </w:r>
    <w:r w:rsidR="006466FC">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D62F9" w14:textId="77777777" w:rsidR="00C51046" w:rsidRDefault="00C510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BB85C" w14:textId="77777777" w:rsidR="007E384A" w:rsidRDefault="007E384A" w:rsidP="003F7C63">
      <w:r>
        <w:separator/>
      </w:r>
    </w:p>
  </w:footnote>
  <w:footnote w:type="continuationSeparator" w:id="0">
    <w:p w14:paraId="208F7424" w14:textId="77777777" w:rsidR="007E384A" w:rsidRDefault="007E384A" w:rsidP="003F7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E5E89" w14:textId="77777777" w:rsidR="00C51046" w:rsidRDefault="00C510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5162A" w14:textId="77777777" w:rsidR="005A4F2E" w:rsidRPr="00C51046" w:rsidRDefault="00000000" w:rsidP="00C51046">
    <w:pPr>
      <w:pStyle w:val="Header"/>
      <w:jc w:val="right"/>
      <w:rPr>
        <w:color w:val="A6A6A6" w:themeColor="background1" w:themeShade="A6"/>
        <w:sz w:val="15"/>
        <w:szCs w:val="15"/>
      </w:rPr>
    </w:pPr>
    <w:r w:rsidRPr="00C51046">
      <w:rPr>
        <w:color w:val="A6A6A6" w:themeColor="background1" w:themeShade="A6"/>
        <w:sz w:val="15"/>
        <w:szCs w:val="15"/>
      </w:rPr>
      <w:t>REDWOOD DEPARTMENT OF RECOVERY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5AE1C" w14:textId="77777777" w:rsidR="00C51046" w:rsidRDefault="00C510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B34E48"/>
    <w:multiLevelType w:val="hybridMultilevel"/>
    <w:tmpl w:val="1C425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8255C5"/>
    <w:multiLevelType w:val="multilevel"/>
    <w:tmpl w:val="4DEA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B76F84"/>
    <w:multiLevelType w:val="hybridMultilevel"/>
    <w:tmpl w:val="010CA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6D565A"/>
    <w:multiLevelType w:val="hybridMultilevel"/>
    <w:tmpl w:val="0F7A1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172028">
    <w:abstractNumId w:val="8"/>
  </w:num>
  <w:num w:numId="2" w16cid:durableId="709955665">
    <w:abstractNumId w:val="6"/>
  </w:num>
  <w:num w:numId="3" w16cid:durableId="14356531">
    <w:abstractNumId w:val="5"/>
  </w:num>
  <w:num w:numId="4" w16cid:durableId="1924878978">
    <w:abstractNumId w:val="4"/>
  </w:num>
  <w:num w:numId="5" w16cid:durableId="191766646">
    <w:abstractNumId w:val="7"/>
  </w:num>
  <w:num w:numId="6" w16cid:durableId="1512142952">
    <w:abstractNumId w:val="3"/>
  </w:num>
  <w:num w:numId="7" w16cid:durableId="607125589">
    <w:abstractNumId w:val="2"/>
  </w:num>
  <w:num w:numId="8" w16cid:durableId="798258945">
    <w:abstractNumId w:val="1"/>
  </w:num>
  <w:num w:numId="9" w16cid:durableId="1801146581">
    <w:abstractNumId w:val="0"/>
  </w:num>
  <w:num w:numId="10" w16cid:durableId="409231140">
    <w:abstractNumId w:val="10"/>
  </w:num>
  <w:num w:numId="11" w16cid:durableId="1268582022">
    <w:abstractNumId w:val="11"/>
  </w:num>
  <w:num w:numId="12" w16cid:durableId="47804084">
    <w:abstractNumId w:val="12"/>
  </w:num>
  <w:num w:numId="13" w16cid:durableId="10013512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077"/>
    <w:rsid w:val="00034616"/>
    <w:rsid w:val="0006063C"/>
    <w:rsid w:val="0015074B"/>
    <w:rsid w:val="0029639D"/>
    <w:rsid w:val="00326F90"/>
    <w:rsid w:val="00350E61"/>
    <w:rsid w:val="003F7C63"/>
    <w:rsid w:val="005A4F2E"/>
    <w:rsid w:val="006466FC"/>
    <w:rsid w:val="007E384A"/>
    <w:rsid w:val="008852B7"/>
    <w:rsid w:val="00917DD2"/>
    <w:rsid w:val="00AA1D8D"/>
    <w:rsid w:val="00B47730"/>
    <w:rsid w:val="00B67CC2"/>
    <w:rsid w:val="00C51046"/>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614D5A"/>
  <w14:defaultImageDpi w14:val="300"/>
  <w15:docId w15:val="{77E058F0-7536-495E-9E29-E8761B0C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C63"/>
    <w:pPr>
      <w:spacing w:after="90" w:line="245" w:lineRule="auto"/>
    </w:pPr>
    <w:rPr>
      <w:rFonts w:ascii="Aptos" w:eastAsia="Aptos" w:hAnsi="Aptos"/>
    </w:rPr>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b/>
      <w:bCs/>
      <w:color w:val="17365D"/>
      <w:sz w:val="28"/>
      <w:szCs w:val="28"/>
    </w:rPr>
  </w:style>
  <w:style w:type="paragraph" w:styleId="Heading2">
    <w:name w:val="heading 2"/>
    <w:basedOn w:val="Normal"/>
    <w:next w:val="Normal"/>
    <w:link w:val="Heading2Char"/>
    <w:uiPriority w:val="9"/>
    <w:unhideWhenUsed/>
    <w:qFormat/>
    <w:rsid w:val="00FC693F"/>
    <w:pPr>
      <w:keepNext/>
      <w:keepLines/>
      <w:spacing w:before="100" w:after="40"/>
      <w:outlineLvl w:val="1"/>
    </w:pPr>
    <w:rPr>
      <w:rFonts w:asciiTheme="majorHAnsi" w:eastAsiaTheme="majorEastAsia" w:hAnsiTheme="majorHAnsi" w:cstheme="majorBidi"/>
      <w:b/>
      <w:bCs/>
      <w:color w:val="2F5597"/>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seDeck">
    <w:name w:val="Case Deck"/>
    <w:pPr>
      <w:spacing w:after="60"/>
    </w:pPr>
    <w:rPr>
      <w:rFonts w:ascii="Aptos" w:eastAsia="Aptos" w:hAnsi="Aptos"/>
      <w:color w:val="404040"/>
      <w:sz w:val="21"/>
    </w:rPr>
  </w:style>
  <w:style w:type="paragraph" w:customStyle="1" w:styleId="ExhibitTitle">
    <w:name w:val="Exhibit Title"/>
    <w:pPr>
      <w:spacing w:after="60"/>
    </w:pPr>
    <w:rPr>
      <w:rFonts w:ascii="Aptos" w:eastAsia="Aptos" w:hAnsi="Aptos"/>
      <w:b/>
      <w:color w:val="17365D"/>
      <w:sz w:val="21"/>
    </w:rPr>
  </w:style>
  <w:style w:type="paragraph" w:customStyle="1" w:styleId="SourceNote">
    <w:name w:val="Source Note"/>
    <w:pPr>
      <w:spacing w:after="60"/>
    </w:pPr>
    <w:rPr>
      <w:rFonts w:ascii="Aptos" w:eastAsia="Aptos" w:hAnsi="Aptos"/>
      <w:color w:val="666666"/>
      <w:sz w:val="15"/>
    </w:rPr>
  </w:style>
  <w:style w:type="paragraph" w:customStyle="1" w:styleId="Question">
    <w:name w:val="Question"/>
    <w:pPr>
      <w:spacing w:after="60"/>
    </w:pPr>
    <w:rPr>
      <w:rFonts w:ascii="Aptos" w:eastAsia="Aptos" w:hAnsi="Aptos"/>
      <w:color w:val="000000"/>
      <w:sz w:val="18"/>
    </w:rPr>
  </w:style>
  <w:style w:type="character" w:styleId="Hyperlink">
    <w:name w:val="Hyperlink"/>
    <w:basedOn w:val="DefaultParagraphFont"/>
    <w:uiPriority w:val="99"/>
    <w:unhideWhenUsed/>
    <w:rsid w:val="00350E61"/>
    <w:rPr>
      <w:color w:val="0000FF" w:themeColor="hyperlink"/>
      <w:u w:val="single"/>
    </w:rPr>
  </w:style>
  <w:style w:type="paragraph" w:customStyle="1" w:styleId="CaseTitle">
    <w:name w:val="Case Title"/>
    <w:basedOn w:val="Normal"/>
    <w:rsid w:val="00021077"/>
    <w:pPr>
      <w:spacing w:after="80" w:line="247" w:lineRule="auto"/>
    </w:pPr>
    <w:rPr>
      <w:rFonts w:ascii="Aptos Display" w:eastAsia="Aptos Display" w:hAnsi="Aptos Display"/>
      <w:b/>
      <w:color w:val="284B63"/>
      <w:sz w:val="48"/>
    </w:rPr>
  </w:style>
  <w:style w:type="paragraph" w:customStyle="1" w:styleId="CaseSubtitle">
    <w:name w:val="Case Subtitle"/>
    <w:basedOn w:val="Normal"/>
    <w:rsid w:val="00021077"/>
    <w:pPr>
      <w:spacing w:after="80" w:line="247" w:lineRule="auto"/>
    </w:pPr>
    <w:rPr>
      <w:rFonts w:ascii="Aptos Display" w:eastAsia="Aptos Display" w:hAnsi="Aptos Display"/>
      <w:b/>
      <w:color w:val="3C6E71"/>
      <w:sz w:val="36"/>
    </w:rPr>
  </w:style>
  <w:style w:type="paragraph" w:customStyle="1" w:styleId="CaseSpacer">
    <w:name w:val="Case Spacer"/>
    <w:basedOn w:val="Normal"/>
    <w:rsid w:val="00021077"/>
    <w:pPr>
      <w:spacing w:after="80" w:line="247"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renpowell.org/decisionsdecision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rrenpowell.org/modeling-uncertaint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inyurl.com/FramingMatri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arrenpowell.org/decisionsdecision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3407</Words>
  <Characters>19423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22785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Redwood’s Funding Needle</dc:title>
  <dc:subject>State addiction agency funding case study</dc:subject>
  <dc:creator>OpenAI</dc:creator>
  <cp:keywords>addiction, naloxone, public health, government grants, funding, case study</cp:keywords>
  <dc:description>generated by python-docx</dc:description>
  <cp:lastModifiedBy>Warren Powell</cp:lastModifiedBy>
  <cp:revision>6</cp:revision>
  <dcterms:created xsi:type="dcterms:W3CDTF">2026-07-29T23:16:00Z</dcterms:created>
  <dcterms:modified xsi:type="dcterms:W3CDTF">2026-07-30T19:02:00Z</dcterms:modified>
  <cp:category/>
</cp:coreProperties>
</file>