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F1A06" w14:textId="77777777" w:rsidR="00D55154" w:rsidRDefault="00000000">
      <w:pPr>
        <w:pStyle w:val="CaseTitle"/>
        <w:spacing w:after="0"/>
      </w:pPr>
      <w:r>
        <w:t>NORTHBRIDGE INDUSTRIAL SYSTEMS</w:t>
      </w:r>
    </w:p>
    <w:p w14:paraId="67A62847" w14:textId="77777777" w:rsidR="00D55154" w:rsidRDefault="00000000">
      <w:pPr>
        <w:pStyle w:val="CaseSubtitle"/>
      </w:pPr>
      <w:r>
        <w:t>The Ninety-Day Payment Decision</w:t>
      </w:r>
    </w:p>
    <w:p w14:paraId="6C640C4C" w14:textId="77777777" w:rsidR="00D55154" w:rsidRDefault="00000000">
      <w:pPr>
        <w:pStyle w:val="CaseDeck"/>
        <w:spacing w:after="160"/>
      </w:pPr>
      <w:r>
        <w:t>A supply-chain finance case on protecting liquidity without destabilizing critical suppliers</w:t>
      </w:r>
    </w:p>
    <w:p w14:paraId="5538BE03" w14:textId="77777777" w:rsidR="00D55154" w:rsidRDefault="00000000">
      <w:pPr>
        <w:pStyle w:val="CaseSpacer"/>
        <w:spacing w:after="0"/>
      </w:pPr>
      <w:r>
        <w:br/>
      </w:r>
    </w:p>
    <w:p w14:paraId="7CDE6369" w14:textId="77777777" w:rsidR="00D55154" w:rsidRDefault="00000000">
      <w:pPr>
        <w:pStyle w:val="CaseDisclaimer"/>
        <w:spacing w:after="60"/>
      </w:pPr>
      <w:r>
        <w:t>This case is fictional and intended for instructional discussion. Names, events, organizations, and operating data are invented, although the industry context is informed by public sources.</w:t>
      </w:r>
    </w:p>
    <w:p w14:paraId="7A98A9AE" w14:textId="77777777" w:rsidR="00D55154" w:rsidRDefault="00D55154">
      <w:pPr>
        <w:pStyle w:val="CaseSpacer"/>
        <w:spacing w:after="0"/>
      </w:pPr>
    </w:p>
    <w:tbl>
      <w:tblPr>
        <w:tblStyle w:val="TableGrid"/>
        <w:tblW w:w="0" w:type="auto"/>
        <w:jc w:val="center"/>
        <w:tblLook w:val="04A0" w:firstRow="1" w:lastRow="0" w:firstColumn="1" w:lastColumn="0" w:noHBand="0" w:noVBand="1"/>
      </w:tblPr>
      <w:tblGrid>
        <w:gridCol w:w="10272"/>
      </w:tblGrid>
      <w:tr w:rsidR="00D55154" w14:paraId="4F1376AC" w14:textId="77777777">
        <w:trPr>
          <w:jc w:val="center"/>
        </w:trPr>
        <w:tc>
          <w:tcPr>
            <w:tcW w:w="10282" w:type="dxa"/>
            <w:shd w:val="clear" w:color="auto" w:fill="EAF0F4"/>
            <w:tcMar>
              <w:top w:w="160" w:type="dxa"/>
              <w:left w:w="180" w:type="dxa"/>
              <w:bottom w:w="160" w:type="dxa"/>
              <w:right w:w="180" w:type="dxa"/>
            </w:tcMar>
          </w:tcPr>
          <w:p w14:paraId="4DB25FD6" w14:textId="77777777" w:rsidR="00D55154" w:rsidRDefault="00000000">
            <w:pPr>
              <w:pStyle w:val="CaseCallout"/>
            </w:pPr>
            <w:r>
              <w:t>Northbridge has enough cash to meet its own near-term obligations, but not enough to absorb tariff-driven inventory purchases, preserve its credit rating, and accelerate payment to every supplier that says it is under strain. A proposed supplier-finance program could help, but it would also extend Northbridge’s payment terms and create new dependencies on banks, insurers, and transaction data.</w:t>
            </w:r>
          </w:p>
        </w:tc>
      </w:tr>
    </w:tbl>
    <w:p w14:paraId="38BC8DD6" w14:textId="77777777" w:rsidR="00D55154" w:rsidRDefault="00D55154">
      <w:pPr>
        <w:pStyle w:val="CaseSpacer"/>
        <w:spacing w:after="0"/>
      </w:pPr>
    </w:p>
    <w:p w14:paraId="349A0D0E" w14:textId="77777777" w:rsidR="00D55154" w:rsidRDefault="00000000">
      <w:pPr>
        <w:pStyle w:val="Heading1"/>
      </w:pPr>
      <w:r>
        <w:t>A Strong Order Book, a Tightening Cash Cycle</w:t>
      </w:r>
    </w:p>
    <w:p w14:paraId="14F3A269" w14:textId="77777777" w:rsidR="00D55154" w:rsidRDefault="00000000">
      <w:pPr>
        <w:spacing w:after="40"/>
      </w:pPr>
      <w:r>
        <w:t>At 7:10 on a Tuesday morning in September 2026, Maya Chen, chief financial officer of Northbridge Industrial Systems, opened an email from the owner of AlloyWorks Precision, a family-owned machining supplier in Ohio. AlloyWorks produced a small but essential valve housing used in Northbridge’s industrial cooling systems. The supplier’s message was brief: unless Northbridge could shorten payment from 75 days to 30 days, AlloyWorks would have to reduce production or seek a buyer.</w:t>
      </w:r>
    </w:p>
    <w:p w14:paraId="61AA6531" w14:textId="77777777" w:rsidR="00D55154" w:rsidRDefault="00000000">
      <w:pPr>
        <w:spacing w:after="40"/>
      </w:pPr>
      <w:r>
        <w:t>Northbridge manufactured pumps, controls, and thermal-management assemblies for data centers, food processors, hospitals, and advanced manufacturing plants. Annual revenue had reached $2.8 billion, and its order backlog was the highest in company history. Yet cash conversion had deteriorated. Customers were requesting longer payment terms, inventories had risen to protect against shipping disruptions, and new tariffs had raised the cost of imported motors, electronic controls, and specialty metals. The company had remained profitable, but cash was being absorbed faster than earnings suggested.</w:t>
      </w:r>
    </w:p>
    <w:p w14:paraId="60F8FAD7" w14:textId="77777777" w:rsidR="00D55154" w:rsidRDefault="00000000">
      <w:pPr>
        <w:spacing w:after="40"/>
      </w:pPr>
      <w:r>
        <w:t>The problem extended beyond one supplier. Procurement had identified 47 suppliers as operationally critical and financially vulnerable. Together they represented only 18% of annual purchasing, but they supplied parts for 63% of Northbridge’s finished products. Several lacked access to inexpensive bank credit. Others used revolving lines with variable rates, personal guarantees, or online lenders. When Northbridge extended its standard terms from 60 to 75 days the previous year, many suppliers accepted the change without protest. Now procurement managers were reporting delayed tooling purchases, reduced overtime, and requests for price increases.</w:t>
      </w:r>
    </w:p>
    <w:p w14:paraId="4ABBF57A" w14:textId="77777777" w:rsidR="00D55154" w:rsidRDefault="00000000">
      <w:pPr>
        <w:spacing w:after="40"/>
      </w:pPr>
      <w:r>
        <w:t>The broader market offered little comfort. The Federal Reserve Banks’ 2026 small-business survey reported that 60% of firms had applied for financing during the prior year, often to meet operating expenses, and only 42% of applicants received the full amount they sought. Manufacturing firms were also among those most likely to report tariff-related cost pressure. At the same time, supply-chain finance was expanding rapidly: a 2025 Secured Finance Network study estimated that roughly 12% of U.S. trade receivables were financed through such arrangements, representing about $2.56 trillion in annual activity.</w:t>
      </w:r>
    </w:p>
    <w:p w14:paraId="6119ADCB" w14:textId="77777777" w:rsidR="00905004" w:rsidRDefault="00905004">
      <w:pPr>
        <w:spacing w:after="200" w:line="276" w:lineRule="auto"/>
        <w:rPr>
          <w:rFonts w:asciiTheme="majorHAnsi" w:eastAsiaTheme="majorEastAsia" w:hAnsiTheme="majorHAnsi" w:cstheme="majorBidi"/>
          <w:b/>
          <w:bCs/>
          <w:color w:val="3C6E71"/>
          <w:sz w:val="23"/>
          <w:szCs w:val="26"/>
        </w:rPr>
      </w:pPr>
      <w:r>
        <w:br w:type="page"/>
      </w:r>
    </w:p>
    <w:p w14:paraId="27C52E53" w14:textId="229C4BEE" w:rsidR="00D55154" w:rsidRDefault="00000000">
      <w:pPr>
        <w:pStyle w:val="Heading2"/>
      </w:pPr>
      <w:r>
        <w:lastRenderedPageBreak/>
        <w:t>Exhibit 1. Northbridge Working-Capital Position</w:t>
      </w:r>
    </w:p>
    <w:tbl>
      <w:tblPr>
        <w:tblStyle w:val="TableGrid"/>
        <w:tblW w:w="0" w:type="auto"/>
        <w:jc w:val="center"/>
        <w:tblLook w:val="04A0" w:firstRow="1" w:lastRow="0" w:firstColumn="1" w:lastColumn="0" w:noHBand="0" w:noVBand="1"/>
      </w:tblPr>
      <w:tblGrid>
        <w:gridCol w:w="3312"/>
        <w:gridCol w:w="1944"/>
        <w:gridCol w:w="1944"/>
        <w:gridCol w:w="2232"/>
      </w:tblGrid>
      <w:tr w:rsidR="00D55154" w14:paraId="67128F05" w14:textId="77777777">
        <w:trPr>
          <w:jc w:val="center"/>
        </w:trPr>
        <w:tc>
          <w:tcPr>
            <w:tcW w:w="3312" w:type="dxa"/>
            <w:shd w:val="clear" w:color="auto" w:fill="284B63"/>
            <w:tcMar>
              <w:top w:w="80" w:type="dxa"/>
              <w:left w:w="90" w:type="dxa"/>
              <w:bottom w:w="80" w:type="dxa"/>
              <w:right w:w="90" w:type="dxa"/>
            </w:tcMar>
            <w:vAlign w:val="center"/>
          </w:tcPr>
          <w:p w14:paraId="528EFA4C" w14:textId="77777777" w:rsidR="00D55154" w:rsidRDefault="00000000">
            <w:pPr>
              <w:pStyle w:val="ExhibitTableHeader"/>
            </w:pPr>
            <w:r>
              <w:rPr>
                <w:sz w:val="16"/>
              </w:rPr>
              <w:t>Measure</w:t>
            </w:r>
          </w:p>
        </w:tc>
        <w:tc>
          <w:tcPr>
            <w:tcW w:w="1944" w:type="dxa"/>
            <w:shd w:val="clear" w:color="auto" w:fill="284B63"/>
            <w:tcMar>
              <w:top w:w="80" w:type="dxa"/>
              <w:left w:w="90" w:type="dxa"/>
              <w:bottom w:w="80" w:type="dxa"/>
              <w:right w:w="90" w:type="dxa"/>
            </w:tcMar>
            <w:vAlign w:val="center"/>
          </w:tcPr>
          <w:p w14:paraId="52250EC6" w14:textId="77777777" w:rsidR="00D55154" w:rsidRDefault="00000000">
            <w:pPr>
              <w:pStyle w:val="ExhibitTableHeader"/>
            </w:pPr>
            <w:r>
              <w:rPr>
                <w:sz w:val="16"/>
              </w:rPr>
              <w:t>FY2024</w:t>
            </w:r>
          </w:p>
        </w:tc>
        <w:tc>
          <w:tcPr>
            <w:tcW w:w="1944" w:type="dxa"/>
            <w:shd w:val="clear" w:color="auto" w:fill="284B63"/>
            <w:tcMar>
              <w:top w:w="80" w:type="dxa"/>
              <w:left w:w="90" w:type="dxa"/>
              <w:bottom w:w="80" w:type="dxa"/>
              <w:right w:w="90" w:type="dxa"/>
            </w:tcMar>
            <w:vAlign w:val="center"/>
          </w:tcPr>
          <w:p w14:paraId="72B4A19C" w14:textId="77777777" w:rsidR="00D55154" w:rsidRDefault="00000000">
            <w:pPr>
              <w:pStyle w:val="ExhibitTableHeader"/>
            </w:pPr>
            <w:r>
              <w:rPr>
                <w:sz w:val="16"/>
              </w:rPr>
              <w:t>FY2025</w:t>
            </w:r>
          </w:p>
        </w:tc>
        <w:tc>
          <w:tcPr>
            <w:tcW w:w="2232" w:type="dxa"/>
            <w:shd w:val="clear" w:color="auto" w:fill="284B63"/>
            <w:tcMar>
              <w:top w:w="80" w:type="dxa"/>
              <w:left w:w="90" w:type="dxa"/>
              <w:bottom w:w="80" w:type="dxa"/>
              <w:right w:w="90" w:type="dxa"/>
            </w:tcMar>
            <w:vAlign w:val="center"/>
          </w:tcPr>
          <w:p w14:paraId="16A8DC27" w14:textId="77777777" w:rsidR="00D55154" w:rsidRDefault="00000000">
            <w:pPr>
              <w:pStyle w:val="ExhibitTableHeader"/>
            </w:pPr>
            <w:r>
              <w:rPr>
                <w:sz w:val="16"/>
              </w:rPr>
              <w:t>Current forecast</w:t>
            </w:r>
          </w:p>
        </w:tc>
      </w:tr>
      <w:tr w:rsidR="00D55154" w14:paraId="4D196F91" w14:textId="77777777">
        <w:trPr>
          <w:jc w:val="center"/>
        </w:trPr>
        <w:tc>
          <w:tcPr>
            <w:tcW w:w="3312" w:type="dxa"/>
            <w:tcMar>
              <w:top w:w="80" w:type="dxa"/>
              <w:left w:w="90" w:type="dxa"/>
              <w:bottom w:w="80" w:type="dxa"/>
              <w:right w:w="90" w:type="dxa"/>
            </w:tcMar>
            <w:vAlign w:val="center"/>
          </w:tcPr>
          <w:p w14:paraId="4E059E43" w14:textId="77777777" w:rsidR="00D55154" w:rsidRDefault="00000000">
            <w:pPr>
              <w:pStyle w:val="ExhibitTableBody"/>
            </w:pPr>
            <w:r>
              <w:rPr>
                <w:sz w:val="16"/>
              </w:rPr>
              <w:t>Revenue</w:t>
            </w:r>
          </w:p>
        </w:tc>
        <w:tc>
          <w:tcPr>
            <w:tcW w:w="1944" w:type="dxa"/>
            <w:tcMar>
              <w:top w:w="80" w:type="dxa"/>
              <w:left w:w="90" w:type="dxa"/>
              <w:bottom w:w="80" w:type="dxa"/>
              <w:right w:w="90" w:type="dxa"/>
            </w:tcMar>
            <w:vAlign w:val="center"/>
          </w:tcPr>
          <w:p w14:paraId="48955C50" w14:textId="77777777" w:rsidR="00D55154" w:rsidRDefault="00000000">
            <w:pPr>
              <w:pStyle w:val="ExhibitTableBody"/>
            </w:pPr>
            <w:r>
              <w:rPr>
                <w:sz w:val="16"/>
              </w:rPr>
              <w:t>$2.42B</w:t>
            </w:r>
          </w:p>
        </w:tc>
        <w:tc>
          <w:tcPr>
            <w:tcW w:w="1944" w:type="dxa"/>
            <w:tcMar>
              <w:top w:w="80" w:type="dxa"/>
              <w:left w:w="90" w:type="dxa"/>
              <w:bottom w:w="80" w:type="dxa"/>
              <w:right w:w="90" w:type="dxa"/>
            </w:tcMar>
            <w:vAlign w:val="center"/>
          </w:tcPr>
          <w:p w14:paraId="25033916" w14:textId="77777777" w:rsidR="00D55154" w:rsidRDefault="00000000">
            <w:pPr>
              <w:pStyle w:val="ExhibitTableBody"/>
            </w:pPr>
            <w:r>
              <w:rPr>
                <w:sz w:val="16"/>
              </w:rPr>
              <w:t>$2.61B</w:t>
            </w:r>
          </w:p>
        </w:tc>
        <w:tc>
          <w:tcPr>
            <w:tcW w:w="2232" w:type="dxa"/>
            <w:tcMar>
              <w:top w:w="80" w:type="dxa"/>
              <w:left w:w="90" w:type="dxa"/>
              <w:bottom w:w="80" w:type="dxa"/>
              <w:right w:w="90" w:type="dxa"/>
            </w:tcMar>
            <w:vAlign w:val="center"/>
          </w:tcPr>
          <w:p w14:paraId="07B1DA89" w14:textId="77777777" w:rsidR="00D55154" w:rsidRDefault="00000000">
            <w:pPr>
              <w:pStyle w:val="ExhibitTableBody"/>
            </w:pPr>
            <w:r>
              <w:rPr>
                <w:sz w:val="16"/>
              </w:rPr>
              <w:t>$2.80B</w:t>
            </w:r>
          </w:p>
        </w:tc>
      </w:tr>
      <w:tr w:rsidR="00D55154" w14:paraId="6E54766D" w14:textId="77777777">
        <w:trPr>
          <w:jc w:val="center"/>
        </w:trPr>
        <w:tc>
          <w:tcPr>
            <w:tcW w:w="3312" w:type="dxa"/>
            <w:shd w:val="clear" w:color="auto" w:fill="EAF0F4"/>
            <w:tcMar>
              <w:top w:w="80" w:type="dxa"/>
              <w:left w:w="90" w:type="dxa"/>
              <w:bottom w:w="80" w:type="dxa"/>
              <w:right w:w="90" w:type="dxa"/>
            </w:tcMar>
            <w:vAlign w:val="center"/>
          </w:tcPr>
          <w:p w14:paraId="63D9F78C" w14:textId="77777777" w:rsidR="00D55154" w:rsidRDefault="00000000">
            <w:pPr>
              <w:pStyle w:val="ExhibitTableBody"/>
            </w:pPr>
            <w:r>
              <w:rPr>
                <w:sz w:val="16"/>
              </w:rPr>
              <w:t>EBITDA margin</w:t>
            </w:r>
          </w:p>
        </w:tc>
        <w:tc>
          <w:tcPr>
            <w:tcW w:w="1944" w:type="dxa"/>
            <w:shd w:val="clear" w:color="auto" w:fill="EAF0F4"/>
            <w:tcMar>
              <w:top w:w="80" w:type="dxa"/>
              <w:left w:w="90" w:type="dxa"/>
              <w:bottom w:w="80" w:type="dxa"/>
              <w:right w:w="90" w:type="dxa"/>
            </w:tcMar>
            <w:vAlign w:val="center"/>
          </w:tcPr>
          <w:p w14:paraId="3BFAA8F3" w14:textId="77777777" w:rsidR="00D55154" w:rsidRDefault="00000000">
            <w:pPr>
              <w:pStyle w:val="ExhibitTableBody"/>
            </w:pPr>
            <w:r>
              <w:rPr>
                <w:sz w:val="16"/>
              </w:rPr>
              <w:t>13.8%</w:t>
            </w:r>
          </w:p>
        </w:tc>
        <w:tc>
          <w:tcPr>
            <w:tcW w:w="1944" w:type="dxa"/>
            <w:shd w:val="clear" w:color="auto" w:fill="EAF0F4"/>
            <w:tcMar>
              <w:top w:w="80" w:type="dxa"/>
              <w:left w:w="90" w:type="dxa"/>
              <w:bottom w:w="80" w:type="dxa"/>
              <w:right w:w="90" w:type="dxa"/>
            </w:tcMar>
            <w:vAlign w:val="center"/>
          </w:tcPr>
          <w:p w14:paraId="1A304C1E" w14:textId="77777777" w:rsidR="00D55154" w:rsidRDefault="00000000">
            <w:pPr>
              <w:pStyle w:val="ExhibitTableBody"/>
            </w:pPr>
            <w:r>
              <w:rPr>
                <w:sz w:val="16"/>
              </w:rPr>
              <w:t>13.2%</w:t>
            </w:r>
          </w:p>
        </w:tc>
        <w:tc>
          <w:tcPr>
            <w:tcW w:w="2232" w:type="dxa"/>
            <w:shd w:val="clear" w:color="auto" w:fill="EAF0F4"/>
            <w:tcMar>
              <w:top w:w="80" w:type="dxa"/>
              <w:left w:w="90" w:type="dxa"/>
              <w:bottom w:w="80" w:type="dxa"/>
              <w:right w:w="90" w:type="dxa"/>
            </w:tcMar>
            <w:vAlign w:val="center"/>
          </w:tcPr>
          <w:p w14:paraId="49E4EC92" w14:textId="77777777" w:rsidR="00D55154" w:rsidRDefault="00000000">
            <w:pPr>
              <w:pStyle w:val="ExhibitTableBody"/>
            </w:pPr>
            <w:r>
              <w:rPr>
                <w:sz w:val="16"/>
              </w:rPr>
              <w:t>12.6%</w:t>
            </w:r>
          </w:p>
        </w:tc>
      </w:tr>
      <w:tr w:rsidR="00D55154" w14:paraId="4463ADF1" w14:textId="77777777">
        <w:trPr>
          <w:jc w:val="center"/>
        </w:trPr>
        <w:tc>
          <w:tcPr>
            <w:tcW w:w="3312" w:type="dxa"/>
            <w:tcMar>
              <w:top w:w="80" w:type="dxa"/>
              <w:left w:w="90" w:type="dxa"/>
              <w:bottom w:w="80" w:type="dxa"/>
              <w:right w:w="90" w:type="dxa"/>
            </w:tcMar>
            <w:vAlign w:val="center"/>
          </w:tcPr>
          <w:p w14:paraId="39502830" w14:textId="77777777" w:rsidR="00D55154" w:rsidRDefault="00000000">
            <w:pPr>
              <w:pStyle w:val="ExhibitTableBody"/>
            </w:pPr>
            <w:r>
              <w:rPr>
                <w:sz w:val="16"/>
              </w:rPr>
              <w:t>Days sales outstanding</w:t>
            </w:r>
          </w:p>
        </w:tc>
        <w:tc>
          <w:tcPr>
            <w:tcW w:w="1944" w:type="dxa"/>
            <w:tcMar>
              <w:top w:w="80" w:type="dxa"/>
              <w:left w:w="90" w:type="dxa"/>
              <w:bottom w:w="80" w:type="dxa"/>
              <w:right w:w="90" w:type="dxa"/>
            </w:tcMar>
            <w:vAlign w:val="center"/>
          </w:tcPr>
          <w:p w14:paraId="53228530" w14:textId="77777777" w:rsidR="00D55154" w:rsidRDefault="00000000">
            <w:pPr>
              <w:pStyle w:val="ExhibitTableBody"/>
            </w:pPr>
            <w:r>
              <w:rPr>
                <w:sz w:val="16"/>
              </w:rPr>
              <w:t>51</w:t>
            </w:r>
          </w:p>
        </w:tc>
        <w:tc>
          <w:tcPr>
            <w:tcW w:w="1944" w:type="dxa"/>
            <w:tcMar>
              <w:top w:w="80" w:type="dxa"/>
              <w:left w:w="90" w:type="dxa"/>
              <w:bottom w:w="80" w:type="dxa"/>
              <w:right w:w="90" w:type="dxa"/>
            </w:tcMar>
            <w:vAlign w:val="center"/>
          </w:tcPr>
          <w:p w14:paraId="6E5C74C7" w14:textId="77777777" w:rsidR="00D55154" w:rsidRDefault="00000000">
            <w:pPr>
              <w:pStyle w:val="ExhibitTableBody"/>
            </w:pPr>
            <w:r>
              <w:rPr>
                <w:sz w:val="16"/>
              </w:rPr>
              <w:t>57</w:t>
            </w:r>
          </w:p>
        </w:tc>
        <w:tc>
          <w:tcPr>
            <w:tcW w:w="2232" w:type="dxa"/>
            <w:tcMar>
              <w:top w:w="80" w:type="dxa"/>
              <w:left w:w="90" w:type="dxa"/>
              <w:bottom w:w="80" w:type="dxa"/>
              <w:right w:w="90" w:type="dxa"/>
            </w:tcMar>
            <w:vAlign w:val="center"/>
          </w:tcPr>
          <w:p w14:paraId="6BF8D72C" w14:textId="77777777" w:rsidR="00D55154" w:rsidRDefault="00000000">
            <w:pPr>
              <w:pStyle w:val="ExhibitTableBody"/>
            </w:pPr>
            <w:r>
              <w:rPr>
                <w:sz w:val="16"/>
              </w:rPr>
              <w:t>64</w:t>
            </w:r>
          </w:p>
        </w:tc>
      </w:tr>
      <w:tr w:rsidR="00D55154" w14:paraId="1A8AA45D" w14:textId="77777777">
        <w:trPr>
          <w:jc w:val="center"/>
        </w:trPr>
        <w:tc>
          <w:tcPr>
            <w:tcW w:w="3312" w:type="dxa"/>
            <w:shd w:val="clear" w:color="auto" w:fill="EAF0F4"/>
            <w:tcMar>
              <w:top w:w="80" w:type="dxa"/>
              <w:left w:w="90" w:type="dxa"/>
              <w:bottom w:w="80" w:type="dxa"/>
              <w:right w:w="90" w:type="dxa"/>
            </w:tcMar>
            <w:vAlign w:val="center"/>
          </w:tcPr>
          <w:p w14:paraId="3F14D33D" w14:textId="77777777" w:rsidR="00D55154" w:rsidRDefault="00000000">
            <w:pPr>
              <w:pStyle w:val="ExhibitTableBody"/>
            </w:pPr>
            <w:r>
              <w:rPr>
                <w:sz w:val="16"/>
              </w:rPr>
              <w:t>Days inventory on hand</w:t>
            </w:r>
          </w:p>
        </w:tc>
        <w:tc>
          <w:tcPr>
            <w:tcW w:w="1944" w:type="dxa"/>
            <w:shd w:val="clear" w:color="auto" w:fill="EAF0F4"/>
            <w:tcMar>
              <w:top w:w="80" w:type="dxa"/>
              <w:left w:w="90" w:type="dxa"/>
              <w:bottom w:w="80" w:type="dxa"/>
              <w:right w:w="90" w:type="dxa"/>
            </w:tcMar>
            <w:vAlign w:val="center"/>
          </w:tcPr>
          <w:p w14:paraId="1CF89917" w14:textId="77777777" w:rsidR="00D55154" w:rsidRDefault="00000000">
            <w:pPr>
              <w:pStyle w:val="ExhibitTableBody"/>
            </w:pPr>
            <w:r>
              <w:rPr>
                <w:sz w:val="16"/>
              </w:rPr>
              <w:t>72</w:t>
            </w:r>
          </w:p>
        </w:tc>
        <w:tc>
          <w:tcPr>
            <w:tcW w:w="1944" w:type="dxa"/>
            <w:shd w:val="clear" w:color="auto" w:fill="EAF0F4"/>
            <w:tcMar>
              <w:top w:w="80" w:type="dxa"/>
              <w:left w:w="90" w:type="dxa"/>
              <w:bottom w:w="80" w:type="dxa"/>
              <w:right w:w="90" w:type="dxa"/>
            </w:tcMar>
            <w:vAlign w:val="center"/>
          </w:tcPr>
          <w:p w14:paraId="0815B73D" w14:textId="77777777" w:rsidR="00D55154" w:rsidRDefault="00000000">
            <w:pPr>
              <w:pStyle w:val="ExhibitTableBody"/>
            </w:pPr>
            <w:r>
              <w:rPr>
                <w:sz w:val="16"/>
              </w:rPr>
              <w:t>84</w:t>
            </w:r>
          </w:p>
        </w:tc>
        <w:tc>
          <w:tcPr>
            <w:tcW w:w="2232" w:type="dxa"/>
            <w:shd w:val="clear" w:color="auto" w:fill="EAF0F4"/>
            <w:tcMar>
              <w:top w:w="80" w:type="dxa"/>
              <w:left w:w="90" w:type="dxa"/>
              <w:bottom w:w="80" w:type="dxa"/>
              <w:right w:w="90" w:type="dxa"/>
            </w:tcMar>
            <w:vAlign w:val="center"/>
          </w:tcPr>
          <w:p w14:paraId="44235542" w14:textId="77777777" w:rsidR="00D55154" w:rsidRDefault="00000000">
            <w:pPr>
              <w:pStyle w:val="ExhibitTableBody"/>
            </w:pPr>
            <w:r>
              <w:rPr>
                <w:sz w:val="16"/>
              </w:rPr>
              <w:t>96</w:t>
            </w:r>
          </w:p>
        </w:tc>
      </w:tr>
      <w:tr w:rsidR="00D55154" w14:paraId="2CF58F50" w14:textId="77777777">
        <w:trPr>
          <w:jc w:val="center"/>
        </w:trPr>
        <w:tc>
          <w:tcPr>
            <w:tcW w:w="3312" w:type="dxa"/>
            <w:tcMar>
              <w:top w:w="80" w:type="dxa"/>
              <w:left w:w="90" w:type="dxa"/>
              <w:bottom w:w="80" w:type="dxa"/>
              <w:right w:w="90" w:type="dxa"/>
            </w:tcMar>
            <w:vAlign w:val="center"/>
          </w:tcPr>
          <w:p w14:paraId="53D04007" w14:textId="77777777" w:rsidR="00D55154" w:rsidRDefault="00000000">
            <w:pPr>
              <w:pStyle w:val="ExhibitTableBody"/>
            </w:pPr>
            <w:r>
              <w:rPr>
                <w:sz w:val="16"/>
              </w:rPr>
              <w:t>Days payable outstanding</w:t>
            </w:r>
          </w:p>
        </w:tc>
        <w:tc>
          <w:tcPr>
            <w:tcW w:w="1944" w:type="dxa"/>
            <w:tcMar>
              <w:top w:w="80" w:type="dxa"/>
              <w:left w:w="90" w:type="dxa"/>
              <w:bottom w:w="80" w:type="dxa"/>
              <w:right w:w="90" w:type="dxa"/>
            </w:tcMar>
            <w:vAlign w:val="center"/>
          </w:tcPr>
          <w:p w14:paraId="773527E1" w14:textId="77777777" w:rsidR="00D55154" w:rsidRDefault="00000000">
            <w:pPr>
              <w:pStyle w:val="ExhibitTableBody"/>
            </w:pPr>
            <w:r>
              <w:rPr>
                <w:sz w:val="16"/>
              </w:rPr>
              <w:t>58</w:t>
            </w:r>
          </w:p>
        </w:tc>
        <w:tc>
          <w:tcPr>
            <w:tcW w:w="1944" w:type="dxa"/>
            <w:tcMar>
              <w:top w:w="80" w:type="dxa"/>
              <w:left w:w="90" w:type="dxa"/>
              <w:bottom w:w="80" w:type="dxa"/>
              <w:right w:w="90" w:type="dxa"/>
            </w:tcMar>
            <w:vAlign w:val="center"/>
          </w:tcPr>
          <w:p w14:paraId="4D47CCB0" w14:textId="77777777" w:rsidR="00D55154" w:rsidRDefault="00000000">
            <w:pPr>
              <w:pStyle w:val="ExhibitTableBody"/>
            </w:pPr>
            <w:r>
              <w:rPr>
                <w:sz w:val="16"/>
              </w:rPr>
              <w:t>69</w:t>
            </w:r>
          </w:p>
        </w:tc>
        <w:tc>
          <w:tcPr>
            <w:tcW w:w="2232" w:type="dxa"/>
            <w:tcMar>
              <w:top w:w="80" w:type="dxa"/>
              <w:left w:w="90" w:type="dxa"/>
              <w:bottom w:w="80" w:type="dxa"/>
              <w:right w:w="90" w:type="dxa"/>
            </w:tcMar>
            <w:vAlign w:val="center"/>
          </w:tcPr>
          <w:p w14:paraId="56844FC8" w14:textId="77777777" w:rsidR="00D55154" w:rsidRDefault="00000000">
            <w:pPr>
              <w:pStyle w:val="ExhibitTableBody"/>
            </w:pPr>
            <w:r>
              <w:rPr>
                <w:sz w:val="16"/>
              </w:rPr>
              <w:t>75</w:t>
            </w:r>
          </w:p>
        </w:tc>
      </w:tr>
      <w:tr w:rsidR="00D55154" w14:paraId="52580C52" w14:textId="77777777">
        <w:trPr>
          <w:jc w:val="center"/>
        </w:trPr>
        <w:tc>
          <w:tcPr>
            <w:tcW w:w="3312" w:type="dxa"/>
            <w:shd w:val="clear" w:color="auto" w:fill="EAF0F4"/>
            <w:tcMar>
              <w:top w:w="80" w:type="dxa"/>
              <w:left w:w="90" w:type="dxa"/>
              <w:bottom w:w="80" w:type="dxa"/>
              <w:right w:w="90" w:type="dxa"/>
            </w:tcMar>
            <w:vAlign w:val="center"/>
          </w:tcPr>
          <w:p w14:paraId="6387B9DD" w14:textId="77777777" w:rsidR="00D55154" w:rsidRDefault="00000000">
            <w:pPr>
              <w:pStyle w:val="ExhibitTableBody"/>
            </w:pPr>
            <w:r>
              <w:rPr>
                <w:sz w:val="16"/>
              </w:rPr>
              <w:t>Free cash flow</w:t>
            </w:r>
          </w:p>
        </w:tc>
        <w:tc>
          <w:tcPr>
            <w:tcW w:w="1944" w:type="dxa"/>
            <w:shd w:val="clear" w:color="auto" w:fill="EAF0F4"/>
            <w:tcMar>
              <w:top w:w="80" w:type="dxa"/>
              <w:left w:w="90" w:type="dxa"/>
              <w:bottom w:w="80" w:type="dxa"/>
              <w:right w:w="90" w:type="dxa"/>
            </w:tcMar>
            <w:vAlign w:val="center"/>
          </w:tcPr>
          <w:p w14:paraId="68F25043" w14:textId="77777777" w:rsidR="00D55154" w:rsidRDefault="00000000">
            <w:pPr>
              <w:pStyle w:val="ExhibitTableBody"/>
            </w:pPr>
            <w:r>
              <w:rPr>
                <w:sz w:val="16"/>
              </w:rPr>
              <w:t>$146M</w:t>
            </w:r>
          </w:p>
        </w:tc>
        <w:tc>
          <w:tcPr>
            <w:tcW w:w="1944" w:type="dxa"/>
            <w:shd w:val="clear" w:color="auto" w:fill="EAF0F4"/>
            <w:tcMar>
              <w:top w:w="80" w:type="dxa"/>
              <w:left w:w="90" w:type="dxa"/>
              <w:bottom w:w="80" w:type="dxa"/>
              <w:right w:w="90" w:type="dxa"/>
            </w:tcMar>
            <w:vAlign w:val="center"/>
          </w:tcPr>
          <w:p w14:paraId="32FE19A5" w14:textId="77777777" w:rsidR="00D55154" w:rsidRDefault="00000000">
            <w:pPr>
              <w:pStyle w:val="ExhibitTableBody"/>
            </w:pPr>
            <w:r>
              <w:rPr>
                <w:sz w:val="16"/>
              </w:rPr>
              <w:t>$82M</w:t>
            </w:r>
          </w:p>
        </w:tc>
        <w:tc>
          <w:tcPr>
            <w:tcW w:w="2232" w:type="dxa"/>
            <w:shd w:val="clear" w:color="auto" w:fill="EAF0F4"/>
            <w:tcMar>
              <w:top w:w="80" w:type="dxa"/>
              <w:left w:w="90" w:type="dxa"/>
              <w:bottom w:w="80" w:type="dxa"/>
              <w:right w:w="90" w:type="dxa"/>
            </w:tcMar>
            <w:vAlign w:val="center"/>
          </w:tcPr>
          <w:p w14:paraId="592A99B8" w14:textId="77777777" w:rsidR="00D55154" w:rsidRDefault="00000000">
            <w:pPr>
              <w:pStyle w:val="ExhibitTableBody"/>
            </w:pPr>
            <w:r>
              <w:rPr>
                <w:sz w:val="16"/>
              </w:rPr>
              <w:t>$31M</w:t>
            </w:r>
          </w:p>
        </w:tc>
      </w:tr>
      <w:tr w:rsidR="00D55154" w14:paraId="76BD24BA" w14:textId="77777777">
        <w:trPr>
          <w:jc w:val="center"/>
        </w:trPr>
        <w:tc>
          <w:tcPr>
            <w:tcW w:w="3312" w:type="dxa"/>
            <w:tcMar>
              <w:top w:w="80" w:type="dxa"/>
              <w:left w:w="90" w:type="dxa"/>
              <w:bottom w:w="80" w:type="dxa"/>
              <w:right w:w="90" w:type="dxa"/>
            </w:tcMar>
            <w:vAlign w:val="center"/>
          </w:tcPr>
          <w:p w14:paraId="16DD95E2" w14:textId="77777777" w:rsidR="00D55154" w:rsidRDefault="00000000">
            <w:pPr>
              <w:pStyle w:val="ExhibitTableBody"/>
            </w:pPr>
            <w:r>
              <w:rPr>
                <w:sz w:val="16"/>
              </w:rPr>
              <w:t>Cash and equivalents</w:t>
            </w:r>
          </w:p>
        </w:tc>
        <w:tc>
          <w:tcPr>
            <w:tcW w:w="1944" w:type="dxa"/>
            <w:tcMar>
              <w:top w:w="80" w:type="dxa"/>
              <w:left w:w="90" w:type="dxa"/>
              <w:bottom w:w="80" w:type="dxa"/>
              <w:right w:w="90" w:type="dxa"/>
            </w:tcMar>
            <w:vAlign w:val="center"/>
          </w:tcPr>
          <w:p w14:paraId="4DCBCEC0" w14:textId="77777777" w:rsidR="00D55154" w:rsidRDefault="00000000">
            <w:pPr>
              <w:pStyle w:val="ExhibitTableBody"/>
            </w:pPr>
            <w:r>
              <w:rPr>
                <w:sz w:val="16"/>
              </w:rPr>
              <w:t>$238M</w:t>
            </w:r>
          </w:p>
        </w:tc>
        <w:tc>
          <w:tcPr>
            <w:tcW w:w="1944" w:type="dxa"/>
            <w:tcMar>
              <w:top w:w="80" w:type="dxa"/>
              <w:left w:w="90" w:type="dxa"/>
              <w:bottom w:w="80" w:type="dxa"/>
              <w:right w:w="90" w:type="dxa"/>
            </w:tcMar>
            <w:vAlign w:val="center"/>
          </w:tcPr>
          <w:p w14:paraId="1EC778D0" w14:textId="77777777" w:rsidR="00D55154" w:rsidRDefault="00000000">
            <w:pPr>
              <w:pStyle w:val="ExhibitTableBody"/>
            </w:pPr>
            <w:r>
              <w:rPr>
                <w:sz w:val="16"/>
              </w:rPr>
              <w:t>$201M</w:t>
            </w:r>
          </w:p>
        </w:tc>
        <w:tc>
          <w:tcPr>
            <w:tcW w:w="2232" w:type="dxa"/>
            <w:tcMar>
              <w:top w:w="80" w:type="dxa"/>
              <w:left w:w="90" w:type="dxa"/>
              <w:bottom w:w="80" w:type="dxa"/>
              <w:right w:w="90" w:type="dxa"/>
            </w:tcMar>
            <w:vAlign w:val="center"/>
          </w:tcPr>
          <w:p w14:paraId="65728DF7" w14:textId="77777777" w:rsidR="00D55154" w:rsidRDefault="00000000">
            <w:pPr>
              <w:pStyle w:val="ExhibitTableBody"/>
            </w:pPr>
            <w:r>
              <w:rPr>
                <w:sz w:val="16"/>
              </w:rPr>
              <w:t>$167M</w:t>
            </w:r>
          </w:p>
        </w:tc>
      </w:tr>
      <w:tr w:rsidR="00D55154" w14:paraId="0704C7B1" w14:textId="77777777">
        <w:trPr>
          <w:jc w:val="center"/>
        </w:trPr>
        <w:tc>
          <w:tcPr>
            <w:tcW w:w="3312" w:type="dxa"/>
            <w:shd w:val="clear" w:color="auto" w:fill="EAF0F4"/>
            <w:tcMar>
              <w:top w:w="80" w:type="dxa"/>
              <w:left w:w="90" w:type="dxa"/>
              <w:bottom w:w="80" w:type="dxa"/>
              <w:right w:w="90" w:type="dxa"/>
            </w:tcMar>
            <w:vAlign w:val="center"/>
          </w:tcPr>
          <w:p w14:paraId="5136F845" w14:textId="77777777" w:rsidR="00D55154" w:rsidRDefault="00000000">
            <w:pPr>
              <w:pStyle w:val="ExhibitTableBody"/>
            </w:pPr>
            <w:r>
              <w:rPr>
                <w:sz w:val="16"/>
              </w:rPr>
              <w:t>Revolving credit available</w:t>
            </w:r>
          </w:p>
        </w:tc>
        <w:tc>
          <w:tcPr>
            <w:tcW w:w="1944" w:type="dxa"/>
            <w:shd w:val="clear" w:color="auto" w:fill="EAF0F4"/>
            <w:tcMar>
              <w:top w:w="80" w:type="dxa"/>
              <w:left w:w="90" w:type="dxa"/>
              <w:bottom w:w="80" w:type="dxa"/>
              <w:right w:w="90" w:type="dxa"/>
            </w:tcMar>
            <w:vAlign w:val="center"/>
          </w:tcPr>
          <w:p w14:paraId="44DF3CEB" w14:textId="77777777" w:rsidR="00D55154" w:rsidRDefault="00000000">
            <w:pPr>
              <w:pStyle w:val="ExhibitTableBody"/>
            </w:pPr>
            <w:r>
              <w:rPr>
                <w:sz w:val="16"/>
              </w:rPr>
              <w:t>$420M</w:t>
            </w:r>
          </w:p>
        </w:tc>
        <w:tc>
          <w:tcPr>
            <w:tcW w:w="1944" w:type="dxa"/>
            <w:shd w:val="clear" w:color="auto" w:fill="EAF0F4"/>
            <w:tcMar>
              <w:top w:w="80" w:type="dxa"/>
              <w:left w:w="90" w:type="dxa"/>
              <w:bottom w:w="80" w:type="dxa"/>
              <w:right w:w="90" w:type="dxa"/>
            </w:tcMar>
            <w:vAlign w:val="center"/>
          </w:tcPr>
          <w:p w14:paraId="4330D2A5" w14:textId="77777777" w:rsidR="00D55154" w:rsidRDefault="00000000">
            <w:pPr>
              <w:pStyle w:val="ExhibitTableBody"/>
            </w:pPr>
            <w:r>
              <w:rPr>
                <w:sz w:val="16"/>
              </w:rPr>
              <w:t>$335M</w:t>
            </w:r>
          </w:p>
        </w:tc>
        <w:tc>
          <w:tcPr>
            <w:tcW w:w="2232" w:type="dxa"/>
            <w:shd w:val="clear" w:color="auto" w:fill="EAF0F4"/>
            <w:tcMar>
              <w:top w:w="80" w:type="dxa"/>
              <w:left w:w="90" w:type="dxa"/>
              <w:bottom w:w="80" w:type="dxa"/>
              <w:right w:w="90" w:type="dxa"/>
            </w:tcMar>
            <w:vAlign w:val="center"/>
          </w:tcPr>
          <w:p w14:paraId="430DE486" w14:textId="77777777" w:rsidR="00D55154" w:rsidRDefault="00000000">
            <w:pPr>
              <w:pStyle w:val="ExhibitTableBody"/>
            </w:pPr>
            <w:r>
              <w:rPr>
                <w:sz w:val="16"/>
              </w:rPr>
              <w:t>$280M</w:t>
            </w:r>
          </w:p>
        </w:tc>
      </w:tr>
    </w:tbl>
    <w:p w14:paraId="5D6D9110" w14:textId="77777777" w:rsidR="00D55154" w:rsidRDefault="00D55154">
      <w:pPr>
        <w:pStyle w:val="CaseSpacer"/>
      </w:pPr>
    </w:p>
    <w:p w14:paraId="4F6302C1" w14:textId="77777777" w:rsidR="00D55154" w:rsidRDefault="00000000">
      <w:pPr>
        <w:pStyle w:val="Heading1"/>
      </w:pPr>
      <w:r>
        <w:t>The Proposed Program</w:t>
      </w:r>
    </w:p>
    <w:p w14:paraId="246D8E31" w14:textId="77777777" w:rsidR="00D55154" w:rsidRDefault="00000000">
      <w:pPr>
        <w:spacing w:after="40"/>
      </w:pPr>
      <w:r>
        <w:t>Northbridge’s lead bank proposed a buyer-led supplier-finance program. After Northbridge approved an invoice in its enterprise system, an eligible supplier could request early payment from the bank. The bank would pay the supplier at a discount based primarily on Northbridge’s credit quality; Northbridge would pay the bank at the invoice’s contractual maturity. Participation would be voluntary.</w:t>
      </w:r>
    </w:p>
    <w:p w14:paraId="19F4ACBE" w14:textId="77777777" w:rsidR="00D55154" w:rsidRDefault="00000000">
      <w:pPr>
        <w:spacing w:after="40"/>
      </w:pPr>
      <w:r>
        <w:t>The bank argued that the program could improve both sides of the relationship. Suppliers could receive cash within days rather than waiting 75 or 90 days. Northbridge could preserve or even lengthen its payment terms without forcing suppliers to finance the delay at their own borrowing rates. Automated invoice approval might also reduce disputes and administrative effort. The bank proposed an initial limit of $350 million in approved invoices and estimated annual program fees to Northbridge of $2.4 million, excluding the discount paid by participating suppliers.</w:t>
      </w:r>
    </w:p>
    <w:p w14:paraId="5A93BEAD" w14:textId="77777777" w:rsidR="00D55154" w:rsidRDefault="00000000">
      <w:pPr>
        <w:spacing w:after="40"/>
      </w:pPr>
      <w:r>
        <w:t>Chen saw several complications. The bank would accept only suppliers that passed know-your-customer, sanctions, fraud, and credit screens. Small suppliers with weak records might be excluded even when they were most in need. Suppliers could interpret the program as pressure to accept longer terms. Northbridge would need to provide invoice and supplier data through a new platform, creating cybersecurity and implementation risks. Accounting rules required additional disclosure of supplier-finance obligations, and analysts might view a growing program as debt-like even if it remained classified within trade payables.</w:t>
      </w:r>
    </w:p>
    <w:p w14:paraId="7106E1E4" w14:textId="77777777" w:rsidR="00D55154" w:rsidRDefault="00000000">
      <w:pPr>
        <w:spacing w:after="40"/>
      </w:pPr>
      <w:r>
        <w:t>There was also a question of who should pay. Under the bank’s proposal, a supplier requesting payment 60 days early would pay a discount equivalent to an annualized rate of approximately 6.4%. For some suppliers this was far below their existing cost of credit. For others, especially larger multinational suppliers, it was unattractive. Northbridge could subsidize all or part of the discount for selected suppliers, but doing so would reduce the working-capital benefit and invite arguments about fairness.</w:t>
      </w:r>
    </w:p>
    <w:p w14:paraId="2EC106B6" w14:textId="77777777" w:rsidR="00905004" w:rsidRDefault="00905004">
      <w:pPr>
        <w:spacing w:after="200" w:line="276" w:lineRule="auto"/>
        <w:rPr>
          <w:rFonts w:asciiTheme="majorHAnsi" w:eastAsiaTheme="majorEastAsia" w:hAnsiTheme="majorHAnsi" w:cstheme="majorBidi"/>
          <w:b/>
          <w:bCs/>
          <w:color w:val="3C6E71"/>
          <w:sz w:val="23"/>
          <w:szCs w:val="26"/>
        </w:rPr>
      </w:pPr>
      <w:r>
        <w:br w:type="page"/>
      </w:r>
    </w:p>
    <w:p w14:paraId="3014C903" w14:textId="312D37C3" w:rsidR="00D55154" w:rsidRDefault="00000000">
      <w:pPr>
        <w:pStyle w:val="Heading2"/>
      </w:pPr>
      <w:r>
        <w:lastRenderedPageBreak/>
        <w:t>Exhibit 2. Illustrative Supplier Economics</w:t>
      </w:r>
    </w:p>
    <w:tbl>
      <w:tblPr>
        <w:tblStyle w:val="TableGrid"/>
        <w:tblW w:w="0" w:type="auto"/>
        <w:jc w:val="center"/>
        <w:tblLook w:val="04A0" w:firstRow="1" w:lastRow="0" w:firstColumn="1" w:lastColumn="0" w:noHBand="0" w:noVBand="1"/>
      </w:tblPr>
      <w:tblGrid>
        <w:gridCol w:w="2276"/>
        <w:gridCol w:w="1587"/>
        <w:gridCol w:w="1432"/>
        <w:gridCol w:w="1634"/>
        <w:gridCol w:w="1630"/>
        <w:gridCol w:w="1713"/>
      </w:tblGrid>
      <w:tr w:rsidR="00D55154" w14:paraId="26491842" w14:textId="77777777">
        <w:trPr>
          <w:jc w:val="center"/>
        </w:trPr>
        <w:tc>
          <w:tcPr>
            <w:tcW w:w="2448" w:type="dxa"/>
            <w:shd w:val="clear" w:color="auto" w:fill="284B63"/>
            <w:tcMar>
              <w:top w:w="80" w:type="dxa"/>
              <w:left w:w="90" w:type="dxa"/>
              <w:bottom w:w="80" w:type="dxa"/>
              <w:right w:w="90" w:type="dxa"/>
            </w:tcMar>
            <w:vAlign w:val="center"/>
          </w:tcPr>
          <w:p w14:paraId="28704232" w14:textId="77777777" w:rsidR="00D55154" w:rsidRDefault="00000000">
            <w:pPr>
              <w:pStyle w:val="ExhibitTableHeader"/>
            </w:pPr>
            <w:r>
              <w:rPr>
                <w:sz w:val="16"/>
              </w:rPr>
              <w:t>Supplier group</w:t>
            </w:r>
          </w:p>
        </w:tc>
        <w:tc>
          <w:tcPr>
            <w:tcW w:w="1656" w:type="dxa"/>
            <w:shd w:val="clear" w:color="auto" w:fill="284B63"/>
            <w:tcMar>
              <w:top w:w="80" w:type="dxa"/>
              <w:left w:w="90" w:type="dxa"/>
              <w:bottom w:w="80" w:type="dxa"/>
              <w:right w:w="90" w:type="dxa"/>
            </w:tcMar>
            <w:vAlign w:val="center"/>
          </w:tcPr>
          <w:p w14:paraId="75A8444A" w14:textId="77777777" w:rsidR="00D55154" w:rsidRDefault="00000000">
            <w:pPr>
              <w:pStyle w:val="ExhibitTableHeader"/>
            </w:pPr>
            <w:r>
              <w:rPr>
                <w:sz w:val="16"/>
              </w:rPr>
              <w:t>Annual Northbridge sales</w:t>
            </w:r>
          </w:p>
        </w:tc>
        <w:tc>
          <w:tcPr>
            <w:tcW w:w="1512" w:type="dxa"/>
            <w:shd w:val="clear" w:color="auto" w:fill="284B63"/>
            <w:tcMar>
              <w:top w:w="80" w:type="dxa"/>
              <w:left w:w="90" w:type="dxa"/>
              <w:bottom w:w="80" w:type="dxa"/>
              <w:right w:w="90" w:type="dxa"/>
            </w:tcMar>
            <w:vAlign w:val="center"/>
          </w:tcPr>
          <w:p w14:paraId="5350B9B3" w14:textId="77777777" w:rsidR="00D55154" w:rsidRDefault="00000000">
            <w:pPr>
              <w:pStyle w:val="ExhibitTableHeader"/>
            </w:pPr>
            <w:r>
              <w:rPr>
                <w:sz w:val="16"/>
              </w:rPr>
              <w:t>Current payment</w:t>
            </w:r>
          </w:p>
        </w:tc>
        <w:tc>
          <w:tcPr>
            <w:tcW w:w="1728" w:type="dxa"/>
            <w:shd w:val="clear" w:color="auto" w:fill="284B63"/>
            <w:tcMar>
              <w:top w:w="80" w:type="dxa"/>
              <w:left w:w="90" w:type="dxa"/>
              <w:bottom w:w="80" w:type="dxa"/>
              <w:right w:w="90" w:type="dxa"/>
            </w:tcMar>
            <w:vAlign w:val="center"/>
          </w:tcPr>
          <w:p w14:paraId="5AF0FABE" w14:textId="77777777" w:rsidR="00D55154" w:rsidRDefault="00000000">
            <w:pPr>
              <w:pStyle w:val="ExhibitTableHeader"/>
            </w:pPr>
            <w:r>
              <w:rPr>
                <w:sz w:val="16"/>
              </w:rPr>
              <w:t>Typical borrowing cost</w:t>
            </w:r>
          </w:p>
        </w:tc>
        <w:tc>
          <w:tcPr>
            <w:tcW w:w="1728" w:type="dxa"/>
            <w:shd w:val="clear" w:color="auto" w:fill="284B63"/>
            <w:tcMar>
              <w:top w:w="80" w:type="dxa"/>
              <w:left w:w="90" w:type="dxa"/>
              <w:bottom w:w="80" w:type="dxa"/>
              <w:right w:w="90" w:type="dxa"/>
            </w:tcMar>
            <w:vAlign w:val="center"/>
          </w:tcPr>
          <w:p w14:paraId="69D02862" w14:textId="77777777" w:rsidR="00D55154" w:rsidRDefault="00000000">
            <w:pPr>
              <w:pStyle w:val="ExhibitTableHeader"/>
            </w:pPr>
            <w:r>
              <w:rPr>
                <w:sz w:val="16"/>
              </w:rPr>
              <w:t>Proposed early-pay cost</w:t>
            </w:r>
          </w:p>
        </w:tc>
        <w:tc>
          <w:tcPr>
            <w:tcW w:w="1800" w:type="dxa"/>
            <w:shd w:val="clear" w:color="auto" w:fill="284B63"/>
            <w:tcMar>
              <w:top w:w="80" w:type="dxa"/>
              <w:left w:w="90" w:type="dxa"/>
              <w:bottom w:w="80" w:type="dxa"/>
              <w:right w:w="90" w:type="dxa"/>
            </w:tcMar>
            <w:vAlign w:val="center"/>
          </w:tcPr>
          <w:p w14:paraId="71AA1DE0" w14:textId="77777777" w:rsidR="00D55154" w:rsidRDefault="00000000">
            <w:pPr>
              <w:pStyle w:val="ExhibitTableHeader"/>
            </w:pPr>
            <w:r>
              <w:rPr>
                <w:sz w:val="16"/>
              </w:rPr>
              <w:t>Operational criticality</w:t>
            </w:r>
          </w:p>
        </w:tc>
      </w:tr>
      <w:tr w:rsidR="00D55154" w14:paraId="743FF6CC" w14:textId="77777777">
        <w:trPr>
          <w:jc w:val="center"/>
        </w:trPr>
        <w:tc>
          <w:tcPr>
            <w:tcW w:w="2448" w:type="dxa"/>
            <w:tcMar>
              <w:top w:w="80" w:type="dxa"/>
              <w:left w:w="90" w:type="dxa"/>
              <w:bottom w:w="80" w:type="dxa"/>
              <w:right w:w="90" w:type="dxa"/>
            </w:tcMar>
            <w:vAlign w:val="center"/>
          </w:tcPr>
          <w:p w14:paraId="5D345572" w14:textId="77777777" w:rsidR="00D55154" w:rsidRDefault="00000000">
            <w:pPr>
              <w:pStyle w:val="ExhibitTableBody"/>
            </w:pPr>
            <w:r>
              <w:rPr>
                <w:sz w:val="16"/>
              </w:rPr>
              <w:t>Strategic electronics</w:t>
            </w:r>
          </w:p>
        </w:tc>
        <w:tc>
          <w:tcPr>
            <w:tcW w:w="1656" w:type="dxa"/>
            <w:tcMar>
              <w:top w:w="80" w:type="dxa"/>
              <w:left w:w="90" w:type="dxa"/>
              <w:bottom w:w="80" w:type="dxa"/>
              <w:right w:w="90" w:type="dxa"/>
            </w:tcMar>
            <w:vAlign w:val="center"/>
          </w:tcPr>
          <w:p w14:paraId="3BBEDC78" w14:textId="77777777" w:rsidR="00D55154" w:rsidRDefault="00000000">
            <w:pPr>
              <w:pStyle w:val="ExhibitTableBody"/>
            </w:pPr>
            <w:r>
              <w:rPr>
                <w:sz w:val="16"/>
              </w:rPr>
              <w:t>$310M</w:t>
            </w:r>
          </w:p>
        </w:tc>
        <w:tc>
          <w:tcPr>
            <w:tcW w:w="1512" w:type="dxa"/>
            <w:tcMar>
              <w:top w:w="80" w:type="dxa"/>
              <w:left w:w="90" w:type="dxa"/>
              <w:bottom w:w="80" w:type="dxa"/>
              <w:right w:w="90" w:type="dxa"/>
            </w:tcMar>
            <w:vAlign w:val="center"/>
          </w:tcPr>
          <w:p w14:paraId="241CAA35" w14:textId="77777777" w:rsidR="00D55154" w:rsidRDefault="00000000">
            <w:pPr>
              <w:pStyle w:val="ExhibitTableBody"/>
            </w:pPr>
            <w:r>
              <w:rPr>
                <w:sz w:val="16"/>
              </w:rPr>
              <w:t>75 days</w:t>
            </w:r>
          </w:p>
        </w:tc>
        <w:tc>
          <w:tcPr>
            <w:tcW w:w="1728" w:type="dxa"/>
            <w:tcMar>
              <w:top w:w="80" w:type="dxa"/>
              <w:left w:w="90" w:type="dxa"/>
              <w:bottom w:w="80" w:type="dxa"/>
              <w:right w:w="90" w:type="dxa"/>
            </w:tcMar>
            <w:vAlign w:val="center"/>
          </w:tcPr>
          <w:p w14:paraId="7ABA7915" w14:textId="77777777" w:rsidR="00D55154" w:rsidRDefault="00000000">
            <w:pPr>
              <w:pStyle w:val="ExhibitTableBody"/>
            </w:pPr>
            <w:r>
              <w:rPr>
                <w:sz w:val="16"/>
              </w:rPr>
              <w:t>7%–9%</w:t>
            </w:r>
          </w:p>
        </w:tc>
        <w:tc>
          <w:tcPr>
            <w:tcW w:w="1728" w:type="dxa"/>
            <w:tcMar>
              <w:top w:w="80" w:type="dxa"/>
              <w:left w:w="90" w:type="dxa"/>
              <w:bottom w:w="80" w:type="dxa"/>
              <w:right w:w="90" w:type="dxa"/>
            </w:tcMar>
            <w:vAlign w:val="center"/>
          </w:tcPr>
          <w:p w14:paraId="5EC425EB" w14:textId="77777777" w:rsidR="00D55154" w:rsidRDefault="00000000">
            <w:pPr>
              <w:pStyle w:val="ExhibitTableBody"/>
            </w:pPr>
            <w:r>
              <w:rPr>
                <w:sz w:val="16"/>
              </w:rPr>
              <w:t>6.0%–6.8%</w:t>
            </w:r>
          </w:p>
        </w:tc>
        <w:tc>
          <w:tcPr>
            <w:tcW w:w="1800" w:type="dxa"/>
            <w:tcMar>
              <w:top w:w="80" w:type="dxa"/>
              <w:left w:w="90" w:type="dxa"/>
              <w:bottom w:w="80" w:type="dxa"/>
              <w:right w:w="90" w:type="dxa"/>
            </w:tcMar>
            <w:vAlign w:val="center"/>
          </w:tcPr>
          <w:p w14:paraId="25EF9BFD" w14:textId="77777777" w:rsidR="00D55154" w:rsidRDefault="00000000">
            <w:pPr>
              <w:pStyle w:val="ExhibitTableBody"/>
            </w:pPr>
            <w:r>
              <w:rPr>
                <w:sz w:val="16"/>
              </w:rPr>
              <w:t>High</w:t>
            </w:r>
          </w:p>
        </w:tc>
      </w:tr>
      <w:tr w:rsidR="00D55154" w14:paraId="338A45BF" w14:textId="77777777">
        <w:trPr>
          <w:jc w:val="center"/>
        </w:trPr>
        <w:tc>
          <w:tcPr>
            <w:tcW w:w="2448" w:type="dxa"/>
            <w:shd w:val="clear" w:color="auto" w:fill="EAF0F4"/>
            <w:tcMar>
              <w:top w:w="80" w:type="dxa"/>
              <w:left w:w="90" w:type="dxa"/>
              <w:bottom w:w="80" w:type="dxa"/>
              <w:right w:w="90" w:type="dxa"/>
            </w:tcMar>
            <w:vAlign w:val="center"/>
          </w:tcPr>
          <w:p w14:paraId="54EBF1A9" w14:textId="77777777" w:rsidR="00D55154" w:rsidRDefault="00000000">
            <w:pPr>
              <w:pStyle w:val="ExhibitTableBody"/>
            </w:pPr>
            <w:r>
              <w:rPr>
                <w:sz w:val="16"/>
              </w:rPr>
              <w:t>Regional machining</w:t>
            </w:r>
          </w:p>
        </w:tc>
        <w:tc>
          <w:tcPr>
            <w:tcW w:w="1656" w:type="dxa"/>
            <w:shd w:val="clear" w:color="auto" w:fill="EAF0F4"/>
            <w:tcMar>
              <w:top w:w="80" w:type="dxa"/>
              <w:left w:w="90" w:type="dxa"/>
              <w:bottom w:w="80" w:type="dxa"/>
              <w:right w:w="90" w:type="dxa"/>
            </w:tcMar>
            <w:vAlign w:val="center"/>
          </w:tcPr>
          <w:p w14:paraId="7AA2BC7A" w14:textId="77777777" w:rsidR="00D55154" w:rsidRDefault="00000000">
            <w:pPr>
              <w:pStyle w:val="ExhibitTableBody"/>
            </w:pPr>
            <w:r>
              <w:rPr>
                <w:sz w:val="16"/>
              </w:rPr>
              <w:t>$185M</w:t>
            </w:r>
          </w:p>
        </w:tc>
        <w:tc>
          <w:tcPr>
            <w:tcW w:w="1512" w:type="dxa"/>
            <w:shd w:val="clear" w:color="auto" w:fill="EAF0F4"/>
            <w:tcMar>
              <w:top w:w="80" w:type="dxa"/>
              <w:left w:w="90" w:type="dxa"/>
              <w:bottom w:w="80" w:type="dxa"/>
              <w:right w:w="90" w:type="dxa"/>
            </w:tcMar>
            <w:vAlign w:val="center"/>
          </w:tcPr>
          <w:p w14:paraId="50259D97" w14:textId="77777777" w:rsidR="00D55154" w:rsidRDefault="00000000">
            <w:pPr>
              <w:pStyle w:val="ExhibitTableBody"/>
            </w:pPr>
            <w:r>
              <w:rPr>
                <w:sz w:val="16"/>
              </w:rPr>
              <w:t>75 days</w:t>
            </w:r>
          </w:p>
        </w:tc>
        <w:tc>
          <w:tcPr>
            <w:tcW w:w="1728" w:type="dxa"/>
            <w:shd w:val="clear" w:color="auto" w:fill="EAF0F4"/>
            <w:tcMar>
              <w:top w:w="80" w:type="dxa"/>
              <w:left w:w="90" w:type="dxa"/>
              <w:bottom w:w="80" w:type="dxa"/>
              <w:right w:w="90" w:type="dxa"/>
            </w:tcMar>
            <w:vAlign w:val="center"/>
          </w:tcPr>
          <w:p w14:paraId="4E1B7AB4" w14:textId="77777777" w:rsidR="00D55154" w:rsidRDefault="00000000">
            <w:pPr>
              <w:pStyle w:val="ExhibitTableBody"/>
            </w:pPr>
            <w:r>
              <w:rPr>
                <w:sz w:val="16"/>
              </w:rPr>
              <w:t>10%–15%</w:t>
            </w:r>
          </w:p>
        </w:tc>
        <w:tc>
          <w:tcPr>
            <w:tcW w:w="1728" w:type="dxa"/>
            <w:shd w:val="clear" w:color="auto" w:fill="EAF0F4"/>
            <w:tcMar>
              <w:top w:w="80" w:type="dxa"/>
              <w:left w:w="90" w:type="dxa"/>
              <w:bottom w:w="80" w:type="dxa"/>
              <w:right w:w="90" w:type="dxa"/>
            </w:tcMar>
            <w:vAlign w:val="center"/>
          </w:tcPr>
          <w:p w14:paraId="0F3F24DC" w14:textId="77777777" w:rsidR="00D55154" w:rsidRDefault="00000000">
            <w:pPr>
              <w:pStyle w:val="ExhibitTableBody"/>
            </w:pPr>
            <w:r>
              <w:rPr>
                <w:sz w:val="16"/>
              </w:rPr>
              <w:t>6.0%–6.8%</w:t>
            </w:r>
          </w:p>
        </w:tc>
        <w:tc>
          <w:tcPr>
            <w:tcW w:w="1800" w:type="dxa"/>
            <w:shd w:val="clear" w:color="auto" w:fill="EAF0F4"/>
            <w:tcMar>
              <w:top w:w="80" w:type="dxa"/>
              <w:left w:w="90" w:type="dxa"/>
              <w:bottom w:w="80" w:type="dxa"/>
              <w:right w:w="90" w:type="dxa"/>
            </w:tcMar>
            <w:vAlign w:val="center"/>
          </w:tcPr>
          <w:p w14:paraId="0475BAC2" w14:textId="77777777" w:rsidR="00D55154" w:rsidRDefault="00000000">
            <w:pPr>
              <w:pStyle w:val="ExhibitTableBody"/>
            </w:pPr>
            <w:r>
              <w:rPr>
                <w:sz w:val="16"/>
              </w:rPr>
              <w:t>Very high</w:t>
            </w:r>
          </w:p>
        </w:tc>
      </w:tr>
      <w:tr w:rsidR="00D55154" w14:paraId="138F6BFB" w14:textId="77777777">
        <w:trPr>
          <w:jc w:val="center"/>
        </w:trPr>
        <w:tc>
          <w:tcPr>
            <w:tcW w:w="2448" w:type="dxa"/>
            <w:tcMar>
              <w:top w:w="80" w:type="dxa"/>
              <w:left w:w="90" w:type="dxa"/>
              <w:bottom w:w="80" w:type="dxa"/>
              <w:right w:w="90" w:type="dxa"/>
            </w:tcMar>
            <w:vAlign w:val="center"/>
          </w:tcPr>
          <w:p w14:paraId="5AA27CBD" w14:textId="77777777" w:rsidR="00D55154" w:rsidRDefault="00000000">
            <w:pPr>
              <w:pStyle w:val="ExhibitTableBody"/>
            </w:pPr>
            <w:r>
              <w:rPr>
                <w:sz w:val="16"/>
              </w:rPr>
              <w:t>Packaging and indirect</w:t>
            </w:r>
          </w:p>
        </w:tc>
        <w:tc>
          <w:tcPr>
            <w:tcW w:w="1656" w:type="dxa"/>
            <w:tcMar>
              <w:top w:w="80" w:type="dxa"/>
              <w:left w:w="90" w:type="dxa"/>
              <w:bottom w:w="80" w:type="dxa"/>
              <w:right w:w="90" w:type="dxa"/>
            </w:tcMar>
            <w:vAlign w:val="center"/>
          </w:tcPr>
          <w:p w14:paraId="26983C06" w14:textId="77777777" w:rsidR="00D55154" w:rsidRDefault="00000000">
            <w:pPr>
              <w:pStyle w:val="ExhibitTableBody"/>
            </w:pPr>
            <w:r>
              <w:rPr>
                <w:sz w:val="16"/>
              </w:rPr>
              <w:t>$92M</w:t>
            </w:r>
          </w:p>
        </w:tc>
        <w:tc>
          <w:tcPr>
            <w:tcW w:w="1512" w:type="dxa"/>
            <w:tcMar>
              <w:top w:w="80" w:type="dxa"/>
              <w:left w:w="90" w:type="dxa"/>
              <w:bottom w:w="80" w:type="dxa"/>
              <w:right w:w="90" w:type="dxa"/>
            </w:tcMar>
            <w:vAlign w:val="center"/>
          </w:tcPr>
          <w:p w14:paraId="39437218" w14:textId="77777777" w:rsidR="00D55154" w:rsidRDefault="00000000">
            <w:pPr>
              <w:pStyle w:val="ExhibitTableBody"/>
            </w:pPr>
            <w:r>
              <w:rPr>
                <w:sz w:val="16"/>
              </w:rPr>
              <w:t>60 days</w:t>
            </w:r>
          </w:p>
        </w:tc>
        <w:tc>
          <w:tcPr>
            <w:tcW w:w="1728" w:type="dxa"/>
            <w:tcMar>
              <w:top w:w="80" w:type="dxa"/>
              <w:left w:w="90" w:type="dxa"/>
              <w:bottom w:w="80" w:type="dxa"/>
              <w:right w:w="90" w:type="dxa"/>
            </w:tcMar>
            <w:vAlign w:val="center"/>
          </w:tcPr>
          <w:p w14:paraId="6B7CDA3C" w14:textId="77777777" w:rsidR="00D55154" w:rsidRDefault="00000000">
            <w:pPr>
              <w:pStyle w:val="ExhibitTableBody"/>
            </w:pPr>
            <w:r>
              <w:rPr>
                <w:sz w:val="16"/>
              </w:rPr>
              <w:t>9%–18%</w:t>
            </w:r>
          </w:p>
        </w:tc>
        <w:tc>
          <w:tcPr>
            <w:tcW w:w="1728" w:type="dxa"/>
            <w:tcMar>
              <w:top w:w="80" w:type="dxa"/>
              <w:left w:w="90" w:type="dxa"/>
              <w:bottom w:w="80" w:type="dxa"/>
              <w:right w:w="90" w:type="dxa"/>
            </w:tcMar>
            <w:vAlign w:val="center"/>
          </w:tcPr>
          <w:p w14:paraId="2FCD0FA2" w14:textId="77777777" w:rsidR="00D55154" w:rsidRDefault="00000000">
            <w:pPr>
              <w:pStyle w:val="ExhibitTableBody"/>
            </w:pPr>
            <w:r>
              <w:rPr>
                <w:sz w:val="16"/>
              </w:rPr>
              <w:t>5.8%–6.5%</w:t>
            </w:r>
          </w:p>
        </w:tc>
        <w:tc>
          <w:tcPr>
            <w:tcW w:w="1800" w:type="dxa"/>
            <w:tcMar>
              <w:top w:w="80" w:type="dxa"/>
              <w:left w:w="90" w:type="dxa"/>
              <w:bottom w:w="80" w:type="dxa"/>
              <w:right w:w="90" w:type="dxa"/>
            </w:tcMar>
            <w:vAlign w:val="center"/>
          </w:tcPr>
          <w:p w14:paraId="68DD799D" w14:textId="77777777" w:rsidR="00D55154" w:rsidRDefault="00000000">
            <w:pPr>
              <w:pStyle w:val="ExhibitTableBody"/>
            </w:pPr>
            <w:r>
              <w:rPr>
                <w:sz w:val="16"/>
              </w:rPr>
              <w:t>Medium</w:t>
            </w:r>
          </w:p>
        </w:tc>
      </w:tr>
      <w:tr w:rsidR="00D55154" w14:paraId="7EBAD24A" w14:textId="77777777">
        <w:trPr>
          <w:jc w:val="center"/>
        </w:trPr>
        <w:tc>
          <w:tcPr>
            <w:tcW w:w="2448" w:type="dxa"/>
            <w:shd w:val="clear" w:color="auto" w:fill="EAF0F4"/>
            <w:tcMar>
              <w:top w:w="80" w:type="dxa"/>
              <w:left w:w="90" w:type="dxa"/>
              <w:bottom w:w="80" w:type="dxa"/>
              <w:right w:w="90" w:type="dxa"/>
            </w:tcMar>
            <w:vAlign w:val="center"/>
          </w:tcPr>
          <w:p w14:paraId="002E3DE6" w14:textId="77777777" w:rsidR="00D55154" w:rsidRDefault="00000000">
            <w:pPr>
              <w:pStyle w:val="ExhibitTableBody"/>
            </w:pPr>
            <w:r>
              <w:rPr>
                <w:sz w:val="16"/>
              </w:rPr>
              <w:t>Global motors</w:t>
            </w:r>
          </w:p>
        </w:tc>
        <w:tc>
          <w:tcPr>
            <w:tcW w:w="1656" w:type="dxa"/>
            <w:shd w:val="clear" w:color="auto" w:fill="EAF0F4"/>
            <w:tcMar>
              <w:top w:w="80" w:type="dxa"/>
              <w:left w:w="90" w:type="dxa"/>
              <w:bottom w:w="80" w:type="dxa"/>
              <w:right w:w="90" w:type="dxa"/>
            </w:tcMar>
            <w:vAlign w:val="center"/>
          </w:tcPr>
          <w:p w14:paraId="09095F80" w14:textId="77777777" w:rsidR="00D55154" w:rsidRDefault="00000000">
            <w:pPr>
              <w:pStyle w:val="ExhibitTableBody"/>
            </w:pPr>
            <w:r>
              <w:rPr>
                <w:sz w:val="16"/>
              </w:rPr>
              <w:t>$420M</w:t>
            </w:r>
          </w:p>
        </w:tc>
        <w:tc>
          <w:tcPr>
            <w:tcW w:w="1512" w:type="dxa"/>
            <w:shd w:val="clear" w:color="auto" w:fill="EAF0F4"/>
            <w:tcMar>
              <w:top w:w="80" w:type="dxa"/>
              <w:left w:w="90" w:type="dxa"/>
              <w:bottom w:w="80" w:type="dxa"/>
              <w:right w:w="90" w:type="dxa"/>
            </w:tcMar>
            <w:vAlign w:val="center"/>
          </w:tcPr>
          <w:p w14:paraId="47A154CB" w14:textId="77777777" w:rsidR="00D55154" w:rsidRDefault="00000000">
            <w:pPr>
              <w:pStyle w:val="ExhibitTableBody"/>
            </w:pPr>
            <w:r>
              <w:rPr>
                <w:sz w:val="16"/>
              </w:rPr>
              <w:t>90 days</w:t>
            </w:r>
          </w:p>
        </w:tc>
        <w:tc>
          <w:tcPr>
            <w:tcW w:w="1728" w:type="dxa"/>
            <w:shd w:val="clear" w:color="auto" w:fill="EAF0F4"/>
            <w:tcMar>
              <w:top w:w="80" w:type="dxa"/>
              <w:left w:w="90" w:type="dxa"/>
              <w:bottom w:w="80" w:type="dxa"/>
              <w:right w:w="90" w:type="dxa"/>
            </w:tcMar>
            <w:vAlign w:val="center"/>
          </w:tcPr>
          <w:p w14:paraId="133EC6CE" w14:textId="77777777" w:rsidR="00D55154" w:rsidRDefault="00000000">
            <w:pPr>
              <w:pStyle w:val="ExhibitTableBody"/>
            </w:pPr>
            <w:r>
              <w:rPr>
                <w:sz w:val="16"/>
              </w:rPr>
              <w:t>4%–6%</w:t>
            </w:r>
          </w:p>
        </w:tc>
        <w:tc>
          <w:tcPr>
            <w:tcW w:w="1728" w:type="dxa"/>
            <w:shd w:val="clear" w:color="auto" w:fill="EAF0F4"/>
            <w:tcMar>
              <w:top w:w="80" w:type="dxa"/>
              <w:left w:w="90" w:type="dxa"/>
              <w:bottom w:w="80" w:type="dxa"/>
              <w:right w:w="90" w:type="dxa"/>
            </w:tcMar>
            <w:vAlign w:val="center"/>
          </w:tcPr>
          <w:p w14:paraId="6A5D99EF" w14:textId="77777777" w:rsidR="00D55154" w:rsidRDefault="00000000">
            <w:pPr>
              <w:pStyle w:val="ExhibitTableBody"/>
            </w:pPr>
            <w:r>
              <w:rPr>
                <w:sz w:val="16"/>
              </w:rPr>
              <w:t>6.2%–7.0%</w:t>
            </w:r>
          </w:p>
        </w:tc>
        <w:tc>
          <w:tcPr>
            <w:tcW w:w="1800" w:type="dxa"/>
            <w:shd w:val="clear" w:color="auto" w:fill="EAF0F4"/>
            <w:tcMar>
              <w:top w:w="80" w:type="dxa"/>
              <w:left w:w="90" w:type="dxa"/>
              <w:bottom w:w="80" w:type="dxa"/>
              <w:right w:w="90" w:type="dxa"/>
            </w:tcMar>
            <w:vAlign w:val="center"/>
          </w:tcPr>
          <w:p w14:paraId="23E76282" w14:textId="77777777" w:rsidR="00D55154" w:rsidRDefault="00000000">
            <w:pPr>
              <w:pStyle w:val="ExhibitTableBody"/>
            </w:pPr>
            <w:r>
              <w:rPr>
                <w:sz w:val="16"/>
              </w:rPr>
              <w:t>High</w:t>
            </w:r>
          </w:p>
        </w:tc>
      </w:tr>
      <w:tr w:rsidR="00D55154" w14:paraId="29D52C25" w14:textId="77777777">
        <w:trPr>
          <w:jc w:val="center"/>
        </w:trPr>
        <w:tc>
          <w:tcPr>
            <w:tcW w:w="2448" w:type="dxa"/>
            <w:tcMar>
              <w:top w:w="80" w:type="dxa"/>
              <w:left w:w="90" w:type="dxa"/>
              <w:bottom w:w="80" w:type="dxa"/>
              <w:right w:w="90" w:type="dxa"/>
            </w:tcMar>
            <w:vAlign w:val="center"/>
          </w:tcPr>
          <w:p w14:paraId="60226282" w14:textId="77777777" w:rsidR="00D55154" w:rsidRDefault="00000000">
            <w:pPr>
              <w:pStyle w:val="ExhibitTableBody"/>
            </w:pPr>
            <w:r>
              <w:rPr>
                <w:sz w:val="16"/>
              </w:rPr>
              <w:t>Minority-owned small suppliers</w:t>
            </w:r>
          </w:p>
        </w:tc>
        <w:tc>
          <w:tcPr>
            <w:tcW w:w="1656" w:type="dxa"/>
            <w:tcMar>
              <w:top w:w="80" w:type="dxa"/>
              <w:left w:w="90" w:type="dxa"/>
              <w:bottom w:w="80" w:type="dxa"/>
              <w:right w:w="90" w:type="dxa"/>
            </w:tcMar>
            <w:vAlign w:val="center"/>
          </w:tcPr>
          <w:p w14:paraId="2229F85C" w14:textId="77777777" w:rsidR="00D55154" w:rsidRDefault="00000000">
            <w:pPr>
              <w:pStyle w:val="ExhibitTableBody"/>
            </w:pPr>
            <w:r>
              <w:rPr>
                <w:sz w:val="16"/>
              </w:rPr>
              <w:t>$76M</w:t>
            </w:r>
          </w:p>
        </w:tc>
        <w:tc>
          <w:tcPr>
            <w:tcW w:w="1512" w:type="dxa"/>
            <w:tcMar>
              <w:top w:w="80" w:type="dxa"/>
              <w:left w:w="90" w:type="dxa"/>
              <w:bottom w:w="80" w:type="dxa"/>
              <w:right w:w="90" w:type="dxa"/>
            </w:tcMar>
            <w:vAlign w:val="center"/>
          </w:tcPr>
          <w:p w14:paraId="3F29A0D0" w14:textId="77777777" w:rsidR="00D55154" w:rsidRDefault="00000000">
            <w:pPr>
              <w:pStyle w:val="ExhibitTableBody"/>
            </w:pPr>
            <w:r>
              <w:rPr>
                <w:sz w:val="16"/>
              </w:rPr>
              <w:t>60–75 days</w:t>
            </w:r>
          </w:p>
        </w:tc>
        <w:tc>
          <w:tcPr>
            <w:tcW w:w="1728" w:type="dxa"/>
            <w:tcMar>
              <w:top w:w="80" w:type="dxa"/>
              <w:left w:w="90" w:type="dxa"/>
              <w:bottom w:w="80" w:type="dxa"/>
              <w:right w:w="90" w:type="dxa"/>
            </w:tcMar>
            <w:vAlign w:val="center"/>
          </w:tcPr>
          <w:p w14:paraId="3B0B18AA" w14:textId="77777777" w:rsidR="00D55154" w:rsidRDefault="00000000">
            <w:pPr>
              <w:pStyle w:val="ExhibitTableBody"/>
            </w:pPr>
            <w:r>
              <w:rPr>
                <w:sz w:val="16"/>
              </w:rPr>
              <w:t>12%–24%</w:t>
            </w:r>
          </w:p>
        </w:tc>
        <w:tc>
          <w:tcPr>
            <w:tcW w:w="1728" w:type="dxa"/>
            <w:tcMar>
              <w:top w:w="80" w:type="dxa"/>
              <w:left w:w="90" w:type="dxa"/>
              <w:bottom w:w="80" w:type="dxa"/>
              <w:right w:w="90" w:type="dxa"/>
            </w:tcMar>
            <w:vAlign w:val="center"/>
          </w:tcPr>
          <w:p w14:paraId="33BE0814" w14:textId="77777777" w:rsidR="00D55154" w:rsidRDefault="00000000">
            <w:pPr>
              <w:pStyle w:val="ExhibitTableBody"/>
            </w:pPr>
            <w:r>
              <w:rPr>
                <w:sz w:val="16"/>
              </w:rPr>
              <w:t>6.0%–7.2%</w:t>
            </w:r>
          </w:p>
        </w:tc>
        <w:tc>
          <w:tcPr>
            <w:tcW w:w="1800" w:type="dxa"/>
            <w:tcMar>
              <w:top w:w="80" w:type="dxa"/>
              <w:left w:w="90" w:type="dxa"/>
              <w:bottom w:w="80" w:type="dxa"/>
              <w:right w:w="90" w:type="dxa"/>
            </w:tcMar>
            <w:vAlign w:val="center"/>
          </w:tcPr>
          <w:p w14:paraId="1C48A456" w14:textId="77777777" w:rsidR="00D55154" w:rsidRDefault="00000000">
            <w:pPr>
              <w:pStyle w:val="ExhibitTableBody"/>
            </w:pPr>
            <w:r>
              <w:rPr>
                <w:sz w:val="16"/>
              </w:rPr>
              <w:t>Mixed</w:t>
            </w:r>
          </w:p>
        </w:tc>
      </w:tr>
    </w:tbl>
    <w:p w14:paraId="720B440E" w14:textId="77777777" w:rsidR="00D55154" w:rsidRDefault="00D55154">
      <w:pPr>
        <w:pStyle w:val="CaseSpacer"/>
      </w:pPr>
    </w:p>
    <w:p w14:paraId="353ECB44" w14:textId="77777777" w:rsidR="00D55154" w:rsidRDefault="00000000">
      <w:pPr>
        <w:pStyle w:val="Heading1"/>
      </w:pPr>
      <w:r>
        <w:t>Cash Was Not the Only Exposure</w:t>
      </w:r>
    </w:p>
    <w:p w14:paraId="4508C50C" w14:textId="77777777" w:rsidR="00D55154" w:rsidRDefault="00000000">
      <w:pPr>
        <w:spacing w:after="40"/>
      </w:pPr>
      <w:r>
        <w:t>Treasury viewed the supplier-finance proposal as one element of a larger financial-risk problem. Northbridge purchased components in euros, yen, Mexican pesos, and U.S. dollars. It carried approximately $410 million of inventory in transit or at third-party warehouses. Sales to two large international customers were insured against nonpayment, but most domestic receivables were not. The company had marine cargo coverage, property coverage, and a limited political-risk policy for one Asian sourcing corridor. Coverage had been assembled over time by different business units, and no one could show whether the portfolio matched the company’s current exposure.</w:t>
      </w:r>
    </w:p>
    <w:p w14:paraId="7C7C32ED" w14:textId="77777777" w:rsidR="00D55154" w:rsidRDefault="00000000">
      <w:pPr>
        <w:spacing w:after="40"/>
      </w:pPr>
      <w:r>
        <w:t>The recent tariff changes had altered the cash profile of imported purchases. Customs duties had to be paid when goods entered the country, often weeks before Northbridge collected cash from customers. Procurement could shift some purchases to Mexico or domestic suppliers, but qualification could take six to eighteen months and might require new tooling. Buying additional inventory before future tariff increases could protect margins and production, but it would consume cash and raise the risk of obsolescence.</w:t>
      </w:r>
    </w:p>
    <w:p w14:paraId="43BA9892" w14:textId="77777777" w:rsidR="00D55154" w:rsidRDefault="00000000">
      <w:pPr>
        <w:spacing w:after="40"/>
      </w:pPr>
      <w:r>
        <w:t>Currency hedges created another debate. Treasury typically hedged 60% of forecast foreign-currency purchases for the next six months and 30% for months seven through twelve. Procurement now wanted higher coverage because sudden exchange-rate moves could amplify tariff increases. Sales executives objected that aggressive hedging might lock in costs just as demand weakened. The company’s European sales also created a partial natural hedge, but the timing and amount of those receipts were uncertain.</w:t>
      </w:r>
    </w:p>
    <w:p w14:paraId="687BF739" w14:textId="77777777" w:rsidR="00D55154" w:rsidRDefault="00000000">
      <w:pPr>
        <w:pStyle w:val="Heading2"/>
      </w:pPr>
      <w:r>
        <w:t>Exhibit 3. Selected Financial Exposures</w:t>
      </w:r>
    </w:p>
    <w:tbl>
      <w:tblPr>
        <w:tblStyle w:val="TableGrid"/>
        <w:tblW w:w="0" w:type="auto"/>
        <w:jc w:val="center"/>
        <w:tblLook w:val="04A0" w:firstRow="1" w:lastRow="0" w:firstColumn="1" w:lastColumn="0" w:noHBand="0" w:noVBand="1"/>
      </w:tblPr>
      <w:tblGrid>
        <w:gridCol w:w="2376"/>
        <w:gridCol w:w="1800"/>
        <w:gridCol w:w="2232"/>
        <w:gridCol w:w="3168"/>
      </w:tblGrid>
      <w:tr w:rsidR="00D55154" w14:paraId="29DB7DA4" w14:textId="77777777">
        <w:trPr>
          <w:jc w:val="center"/>
        </w:trPr>
        <w:tc>
          <w:tcPr>
            <w:tcW w:w="2376" w:type="dxa"/>
            <w:shd w:val="clear" w:color="auto" w:fill="284B63"/>
            <w:tcMar>
              <w:top w:w="80" w:type="dxa"/>
              <w:left w:w="90" w:type="dxa"/>
              <w:bottom w:w="80" w:type="dxa"/>
              <w:right w:w="90" w:type="dxa"/>
            </w:tcMar>
            <w:vAlign w:val="center"/>
          </w:tcPr>
          <w:p w14:paraId="76C82BE8" w14:textId="77777777" w:rsidR="00D55154" w:rsidRDefault="00000000">
            <w:pPr>
              <w:pStyle w:val="ExhibitTableHeader"/>
            </w:pPr>
            <w:r>
              <w:rPr>
                <w:sz w:val="16"/>
              </w:rPr>
              <w:t>Exposure</w:t>
            </w:r>
          </w:p>
        </w:tc>
        <w:tc>
          <w:tcPr>
            <w:tcW w:w="1800" w:type="dxa"/>
            <w:shd w:val="clear" w:color="auto" w:fill="284B63"/>
            <w:tcMar>
              <w:top w:w="80" w:type="dxa"/>
              <w:left w:w="90" w:type="dxa"/>
              <w:bottom w:w="80" w:type="dxa"/>
              <w:right w:w="90" w:type="dxa"/>
            </w:tcMar>
            <w:vAlign w:val="center"/>
          </w:tcPr>
          <w:p w14:paraId="78495A30" w14:textId="77777777" w:rsidR="00D55154" w:rsidRDefault="00000000">
            <w:pPr>
              <w:pStyle w:val="ExhibitTableHeader"/>
            </w:pPr>
            <w:r>
              <w:rPr>
                <w:sz w:val="16"/>
              </w:rPr>
              <w:t>Estimated amount</w:t>
            </w:r>
          </w:p>
        </w:tc>
        <w:tc>
          <w:tcPr>
            <w:tcW w:w="2232" w:type="dxa"/>
            <w:shd w:val="clear" w:color="auto" w:fill="284B63"/>
            <w:tcMar>
              <w:top w:w="80" w:type="dxa"/>
              <w:left w:w="90" w:type="dxa"/>
              <w:bottom w:w="80" w:type="dxa"/>
              <w:right w:w="90" w:type="dxa"/>
            </w:tcMar>
            <w:vAlign w:val="center"/>
          </w:tcPr>
          <w:p w14:paraId="3115EDD5" w14:textId="77777777" w:rsidR="00D55154" w:rsidRDefault="00000000">
            <w:pPr>
              <w:pStyle w:val="ExhibitTableHeader"/>
            </w:pPr>
            <w:r>
              <w:rPr>
                <w:sz w:val="16"/>
              </w:rPr>
              <w:t>Current protection</w:t>
            </w:r>
          </w:p>
        </w:tc>
        <w:tc>
          <w:tcPr>
            <w:tcW w:w="3168" w:type="dxa"/>
            <w:shd w:val="clear" w:color="auto" w:fill="284B63"/>
            <w:tcMar>
              <w:top w:w="80" w:type="dxa"/>
              <w:left w:w="90" w:type="dxa"/>
              <w:bottom w:w="80" w:type="dxa"/>
              <w:right w:w="90" w:type="dxa"/>
            </w:tcMar>
            <w:vAlign w:val="center"/>
          </w:tcPr>
          <w:p w14:paraId="3151CABD" w14:textId="77777777" w:rsidR="00D55154" w:rsidRDefault="00000000">
            <w:pPr>
              <w:pStyle w:val="ExhibitTableHeader"/>
            </w:pPr>
            <w:r>
              <w:rPr>
                <w:sz w:val="16"/>
              </w:rPr>
              <w:t>Management concern</w:t>
            </w:r>
          </w:p>
        </w:tc>
      </w:tr>
      <w:tr w:rsidR="00D55154" w14:paraId="1364138F" w14:textId="77777777">
        <w:trPr>
          <w:jc w:val="center"/>
        </w:trPr>
        <w:tc>
          <w:tcPr>
            <w:tcW w:w="2376" w:type="dxa"/>
            <w:tcMar>
              <w:top w:w="80" w:type="dxa"/>
              <w:left w:w="90" w:type="dxa"/>
              <w:bottom w:w="80" w:type="dxa"/>
              <w:right w:w="90" w:type="dxa"/>
            </w:tcMar>
            <w:vAlign w:val="center"/>
          </w:tcPr>
          <w:p w14:paraId="646FD345" w14:textId="77777777" w:rsidR="00D55154" w:rsidRDefault="00000000">
            <w:pPr>
              <w:pStyle w:val="ExhibitTableBody"/>
            </w:pPr>
            <w:r>
              <w:rPr>
                <w:sz w:val="16"/>
              </w:rPr>
              <w:t>Approved supplier invoices</w:t>
            </w:r>
          </w:p>
        </w:tc>
        <w:tc>
          <w:tcPr>
            <w:tcW w:w="1800" w:type="dxa"/>
            <w:tcMar>
              <w:top w:w="80" w:type="dxa"/>
              <w:left w:w="90" w:type="dxa"/>
              <w:bottom w:w="80" w:type="dxa"/>
              <w:right w:w="90" w:type="dxa"/>
            </w:tcMar>
            <w:vAlign w:val="center"/>
          </w:tcPr>
          <w:p w14:paraId="3108DDFA" w14:textId="77777777" w:rsidR="00D55154" w:rsidRDefault="00000000">
            <w:pPr>
              <w:pStyle w:val="ExhibitTableBody"/>
            </w:pPr>
            <w:r>
              <w:rPr>
                <w:sz w:val="16"/>
              </w:rPr>
              <w:t>$485M</w:t>
            </w:r>
          </w:p>
        </w:tc>
        <w:tc>
          <w:tcPr>
            <w:tcW w:w="2232" w:type="dxa"/>
            <w:tcMar>
              <w:top w:w="80" w:type="dxa"/>
              <w:left w:w="90" w:type="dxa"/>
              <w:bottom w:w="80" w:type="dxa"/>
              <w:right w:w="90" w:type="dxa"/>
            </w:tcMar>
            <w:vAlign w:val="center"/>
          </w:tcPr>
          <w:p w14:paraId="3C38867A" w14:textId="77777777" w:rsidR="00D55154" w:rsidRDefault="00000000">
            <w:pPr>
              <w:pStyle w:val="ExhibitTableBody"/>
            </w:pPr>
            <w:r>
              <w:rPr>
                <w:sz w:val="16"/>
              </w:rPr>
              <w:t>No dedicated program</w:t>
            </w:r>
          </w:p>
        </w:tc>
        <w:tc>
          <w:tcPr>
            <w:tcW w:w="3168" w:type="dxa"/>
            <w:tcMar>
              <w:top w:w="80" w:type="dxa"/>
              <w:left w:w="90" w:type="dxa"/>
              <w:bottom w:w="80" w:type="dxa"/>
              <w:right w:w="90" w:type="dxa"/>
            </w:tcMar>
            <w:vAlign w:val="center"/>
          </w:tcPr>
          <w:p w14:paraId="5F8BDB2C" w14:textId="77777777" w:rsidR="00D55154" w:rsidRDefault="00000000">
            <w:pPr>
              <w:pStyle w:val="ExhibitTableBody"/>
            </w:pPr>
            <w:r>
              <w:rPr>
                <w:sz w:val="16"/>
              </w:rPr>
              <w:t>Supplier liquidity and payment timing</w:t>
            </w:r>
          </w:p>
        </w:tc>
      </w:tr>
      <w:tr w:rsidR="00D55154" w14:paraId="198ACF2C" w14:textId="77777777">
        <w:trPr>
          <w:jc w:val="center"/>
        </w:trPr>
        <w:tc>
          <w:tcPr>
            <w:tcW w:w="2376" w:type="dxa"/>
            <w:shd w:val="clear" w:color="auto" w:fill="EAF0F4"/>
            <w:tcMar>
              <w:top w:w="80" w:type="dxa"/>
              <w:left w:w="90" w:type="dxa"/>
              <w:bottom w:w="80" w:type="dxa"/>
              <w:right w:w="90" w:type="dxa"/>
            </w:tcMar>
            <w:vAlign w:val="center"/>
          </w:tcPr>
          <w:p w14:paraId="014F0FFF" w14:textId="77777777" w:rsidR="00D55154" w:rsidRDefault="00000000">
            <w:pPr>
              <w:pStyle w:val="ExhibitTableBody"/>
            </w:pPr>
            <w:r>
              <w:rPr>
                <w:sz w:val="16"/>
              </w:rPr>
              <w:t>Foreign-currency purchases, next 12 months</w:t>
            </w:r>
          </w:p>
        </w:tc>
        <w:tc>
          <w:tcPr>
            <w:tcW w:w="1800" w:type="dxa"/>
            <w:shd w:val="clear" w:color="auto" w:fill="EAF0F4"/>
            <w:tcMar>
              <w:top w:w="80" w:type="dxa"/>
              <w:left w:w="90" w:type="dxa"/>
              <w:bottom w:w="80" w:type="dxa"/>
              <w:right w:w="90" w:type="dxa"/>
            </w:tcMar>
            <w:vAlign w:val="center"/>
          </w:tcPr>
          <w:p w14:paraId="51256235" w14:textId="77777777" w:rsidR="00D55154" w:rsidRDefault="00000000">
            <w:pPr>
              <w:pStyle w:val="ExhibitTableBody"/>
            </w:pPr>
            <w:r>
              <w:rPr>
                <w:sz w:val="16"/>
              </w:rPr>
              <w:t>$690M</w:t>
            </w:r>
          </w:p>
        </w:tc>
        <w:tc>
          <w:tcPr>
            <w:tcW w:w="2232" w:type="dxa"/>
            <w:shd w:val="clear" w:color="auto" w:fill="EAF0F4"/>
            <w:tcMar>
              <w:top w:w="80" w:type="dxa"/>
              <w:left w:w="90" w:type="dxa"/>
              <w:bottom w:w="80" w:type="dxa"/>
              <w:right w:w="90" w:type="dxa"/>
            </w:tcMar>
            <w:vAlign w:val="center"/>
          </w:tcPr>
          <w:p w14:paraId="22356A6B" w14:textId="77777777" w:rsidR="00D55154" w:rsidRDefault="00000000">
            <w:pPr>
              <w:pStyle w:val="ExhibitTableBody"/>
            </w:pPr>
            <w:r>
              <w:rPr>
                <w:sz w:val="16"/>
              </w:rPr>
              <w:t>47% hedged</w:t>
            </w:r>
          </w:p>
        </w:tc>
        <w:tc>
          <w:tcPr>
            <w:tcW w:w="3168" w:type="dxa"/>
            <w:shd w:val="clear" w:color="auto" w:fill="EAF0F4"/>
            <w:tcMar>
              <w:top w:w="80" w:type="dxa"/>
              <w:left w:w="90" w:type="dxa"/>
              <w:bottom w:w="80" w:type="dxa"/>
              <w:right w:w="90" w:type="dxa"/>
            </w:tcMar>
            <w:vAlign w:val="center"/>
          </w:tcPr>
          <w:p w14:paraId="76403DAB" w14:textId="77777777" w:rsidR="00D55154" w:rsidRDefault="00000000">
            <w:pPr>
              <w:pStyle w:val="ExhibitTableBody"/>
            </w:pPr>
            <w:r>
              <w:rPr>
                <w:sz w:val="16"/>
              </w:rPr>
              <w:t>Rates, forecast error, hedge cost</w:t>
            </w:r>
          </w:p>
        </w:tc>
      </w:tr>
      <w:tr w:rsidR="00D55154" w14:paraId="6DE484EA" w14:textId="77777777">
        <w:trPr>
          <w:jc w:val="center"/>
        </w:trPr>
        <w:tc>
          <w:tcPr>
            <w:tcW w:w="2376" w:type="dxa"/>
            <w:tcMar>
              <w:top w:w="80" w:type="dxa"/>
              <w:left w:w="90" w:type="dxa"/>
              <w:bottom w:w="80" w:type="dxa"/>
              <w:right w:w="90" w:type="dxa"/>
            </w:tcMar>
            <w:vAlign w:val="center"/>
          </w:tcPr>
          <w:p w14:paraId="7D3A7CCF" w14:textId="77777777" w:rsidR="00D55154" w:rsidRDefault="00000000">
            <w:pPr>
              <w:pStyle w:val="ExhibitTableBody"/>
            </w:pPr>
            <w:r>
              <w:rPr>
                <w:sz w:val="16"/>
              </w:rPr>
              <w:t>Inventory in transit and third-party sites</w:t>
            </w:r>
          </w:p>
        </w:tc>
        <w:tc>
          <w:tcPr>
            <w:tcW w:w="1800" w:type="dxa"/>
            <w:tcMar>
              <w:top w:w="80" w:type="dxa"/>
              <w:left w:w="90" w:type="dxa"/>
              <w:bottom w:w="80" w:type="dxa"/>
              <w:right w:w="90" w:type="dxa"/>
            </w:tcMar>
            <w:vAlign w:val="center"/>
          </w:tcPr>
          <w:p w14:paraId="47D30962" w14:textId="77777777" w:rsidR="00D55154" w:rsidRDefault="00000000">
            <w:pPr>
              <w:pStyle w:val="ExhibitTableBody"/>
            </w:pPr>
            <w:r>
              <w:rPr>
                <w:sz w:val="16"/>
              </w:rPr>
              <w:t>$410M</w:t>
            </w:r>
          </w:p>
        </w:tc>
        <w:tc>
          <w:tcPr>
            <w:tcW w:w="2232" w:type="dxa"/>
            <w:tcMar>
              <w:top w:w="80" w:type="dxa"/>
              <w:left w:w="90" w:type="dxa"/>
              <w:bottom w:w="80" w:type="dxa"/>
              <w:right w:w="90" w:type="dxa"/>
            </w:tcMar>
            <w:vAlign w:val="center"/>
          </w:tcPr>
          <w:p w14:paraId="061BDBEE" w14:textId="77777777" w:rsidR="00D55154" w:rsidRDefault="00000000">
            <w:pPr>
              <w:pStyle w:val="ExhibitTableBody"/>
            </w:pPr>
            <w:r>
              <w:rPr>
                <w:sz w:val="16"/>
              </w:rPr>
              <w:t>Cargo/property insurance</w:t>
            </w:r>
          </w:p>
        </w:tc>
        <w:tc>
          <w:tcPr>
            <w:tcW w:w="3168" w:type="dxa"/>
            <w:tcMar>
              <w:top w:w="80" w:type="dxa"/>
              <w:left w:w="90" w:type="dxa"/>
              <w:bottom w:w="80" w:type="dxa"/>
              <w:right w:w="90" w:type="dxa"/>
            </w:tcMar>
            <w:vAlign w:val="center"/>
          </w:tcPr>
          <w:p w14:paraId="75D0FF71" w14:textId="77777777" w:rsidR="00D55154" w:rsidRDefault="00000000">
            <w:pPr>
              <w:pStyle w:val="ExhibitTableBody"/>
            </w:pPr>
            <w:r>
              <w:rPr>
                <w:sz w:val="16"/>
              </w:rPr>
              <w:t>Loss, delay, deductible, coverage gaps</w:t>
            </w:r>
          </w:p>
        </w:tc>
      </w:tr>
      <w:tr w:rsidR="00D55154" w14:paraId="7FA6234B" w14:textId="77777777">
        <w:trPr>
          <w:jc w:val="center"/>
        </w:trPr>
        <w:tc>
          <w:tcPr>
            <w:tcW w:w="2376" w:type="dxa"/>
            <w:shd w:val="clear" w:color="auto" w:fill="EAF0F4"/>
            <w:tcMar>
              <w:top w:w="80" w:type="dxa"/>
              <w:left w:w="90" w:type="dxa"/>
              <w:bottom w:w="80" w:type="dxa"/>
              <w:right w:w="90" w:type="dxa"/>
            </w:tcMar>
            <w:vAlign w:val="center"/>
          </w:tcPr>
          <w:p w14:paraId="72CBF061" w14:textId="77777777" w:rsidR="00D55154" w:rsidRDefault="00000000">
            <w:pPr>
              <w:pStyle w:val="ExhibitTableBody"/>
            </w:pPr>
            <w:r>
              <w:rPr>
                <w:sz w:val="16"/>
              </w:rPr>
              <w:t>Trade receivables</w:t>
            </w:r>
          </w:p>
        </w:tc>
        <w:tc>
          <w:tcPr>
            <w:tcW w:w="1800" w:type="dxa"/>
            <w:shd w:val="clear" w:color="auto" w:fill="EAF0F4"/>
            <w:tcMar>
              <w:top w:w="80" w:type="dxa"/>
              <w:left w:w="90" w:type="dxa"/>
              <w:bottom w:w="80" w:type="dxa"/>
              <w:right w:w="90" w:type="dxa"/>
            </w:tcMar>
            <w:vAlign w:val="center"/>
          </w:tcPr>
          <w:p w14:paraId="14D19E52" w14:textId="77777777" w:rsidR="00D55154" w:rsidRDefault="00000000">
            <w:pPr>
              <w:pStyle w:val="ExhibitTableBody"/>
            </w:pPr>
            <w:r>
              <w:rPr>
                <w:sz w:val="16"/>
              </w:rPr>
              <w:t>$612M</w:t>
            </w:r>
          </w:p>
        </w:tc>
        <w:tc>
          <w:tcPr>
            <w:tcW w:w="2232" w:type="dxa"/>
            <w:shd w:val="clear" w:color="auto" w:fill="EAF0F4"/>
            <w:tcMar>
              <w:top w:w="80" w:type="dxa"/>
              <w:left w:w="90" w:type="dxa"/>
              <w:bottom w:w="80" w:type="dxa"/>
              <w:right w:w="90" w:type="dxa"/>
            </w:tcMar>
            <w:vAlign w:val="center"/>
          </w:tcPr>
          <w:p w14:paraId="48B3649D" w14:textId="77777777" w:rsidR="00D55154" w:rsidRDefault="00000000">
            <w:pPr>
              <w:pStyle w:val="ExhibitTableBody"/>
            </w:pPr>
            <w:r>
              <w:rPr>
                <w:sz w:val="16"/>
              </w:rPr>
              <w:t>Selective credit insurance</w:t>
            </w:r>
          </w:p>
        </w:tc>
        <w:tc>
          <w:tcPr>
            <w:tcW w:w="3168" w:type="dxa"/>
            <w:shd w:val="clear" w:color="auto" w:fill="EAF0F4"/>
            <w:tcMar>
              <w:top w:w="80" w:type="dxa"/>
              <w:left w:w="90" w:type="dxa"/>
              <w:bottom w:w="80" w:type="dxa"/>
              <w:right w:w="90" w:type="dxa"/>
            </w:tcMar>
            <w:vAlign w:val="center"/>
          </w:tcPr>
          <w:p w14:paraId="2527B70D" w14:textId="77777777" w:rsidR="00D55154" w:rsidRDefault="00000000">
            <w:pPr>
              <w:pStyle w:val="ExhibitTableBody"/>
            </w:pPr>
            <w:r>
              <w:rPr>
                <w:sz w:val="16"/>
              </w:rPr>
              <w:t>Customer default and delayed payment</w:t>
            </w:r>
          </w:p>
        </w:tc>
      </w:tr>
      <w:tr w:rsidR="00D55154" w14:paraId="7FFC1700" w14:textId="77777777">
        <w:trPr>
          <w:jc w:val="center"/>
        </w:trPr>
        <w:tc>
          <w:tcPr>
            <w:tcW w:w="2376" w:type="dxa"/>
            <w:tcMar>
              <w:top w:w="80" w:type="dxa"/>
              <w:left w:w="90" w:type="dxa"/>
              <w:bottom w:w="80" w:type="dxa"/>
              <w:right w:w="90" w:type="dxa"/>
            </w:tcMar>
            <w:vAlign w:val="center"/>
          </w:tcPr>
          <w:p w14:paraId="23A4EF95" w14:textId="77777777" w:rsidR="00D55154" w:rsidRDefault="00000000">
            <w:pPr>
              <w:pStyle w:val="ExhibitTableBody"/>
            </w:pPr>
            <w:r>
              <w:rPr>
                <w:sz w:val="16"/>
              </w:rPr>
              <w:t>Tariff cash outlay, next 12 months</w:t>
            </w:r>
          </w:p>
        </w:tc>
        <w:tc>
          <w:tcPr>
            <w:tcW w:w="1800" w:type="dxa"/>
            <w:tcMar>
              <w:top w:w="80" w:type="dxa"/>
              <w:left w:w="90" w:type="dxa"/>
              <w:bottom w:w="80" w:type="dxa"/>
              <w:right w:w="90" w:type="dxa"/>
            </w:tcMar>
            <w:vAlign w:val="center"/>
          </w:tcPr>
          <w:p w14:paraId="0987DA02" w14:textId="77777777" w:rsidR="00D55154" w:rsidRDefault="00000000">
            <w:pPr>
              <w:pStyle w:val="ExhibitTableBody"/>
            </w:pPr>
            <w:r>
              <w:rPr>
                <w:sz w:val="16"/>
              </w:rPr>
              <w:t>$96M</w:t>
            </w:r>
          </w:p>
        </w:tc>
        <w:tc>
          <w:tcPr>
            <w:tcW w:w="2232" w:type="dxa"/>
            <w:tcMar>
              <w:top w:w="80" w:type="dxa"/>
              <w:left w:w="90" w:type="dxa"/>
              <w:bottom w:w="80" w:type="dxa"/>
              <w:right w:w="90" w:type="dxa"/>
            </w:tcMar>
            <w:vAlign w:val="center"/>
          </w:tcPr>
          <w:p w14:paraId="3BC33F04" w14:textId="77777777" w:rsidR="00D55154" w:rsidRDefault="00000000">
            <w:pPr>
              <w:pStyle w:val="ExhibitTableBody"/>
            </w:pPr>
            <w:r>
              <w:rPr>
                <w:sz w:val="16"/>
              </w:rPr>
              <w:t>None</w:t>
            </w:r>
          </w:p>
        </w:tc>
        <w:tc>
          <w:tcPr>
            <w:tcW w:w="3168" w:type="dxa"/>
            <w:tcMar>
              <w:top w:w="80" w:type="dxa"/>
              <w:left w:w="90" w:type="dxa"/>
              <w:bottom w:w="80" w:type="dxa"/>
              <w:right w:w="90" w:type="dxa"/>
            </w:tcMar>
            <w:vAlign w:val="center"/>
          </w:tcPr>
          <w:p w14:paraId="4C555073" w14:textId="77777777" w:rsidR="00D55154" w:rsidRDefault="00000000">
            <w:pPr>
              <w:pStyle w:val="ExhibitTableBody"/>
            </w:pPr>
            <w:r>
              <w:rPr>
                <w:sz w:val="16"/>
              </w:rPr>
              <w:t>Timing, policy changes, product pricing</w:t>
            </w:r>
          </w:p>
        </w:tc>
      </w:tr>
    </w:tbl>
    <w:p w14:paraId="050B694B" w14:textId="77777777" w:rsidR="00D55154" w:rsidRDefault="00D55154">
      <w:pPr>
        <w:pStyle w:val="CaseSpacer"/>
      </w:pPr>
    </w:p>
    <w:p w14:paraId="1DBF48A9" w14:textId="77777777" w:rsidR="00905004" w:rsidRDefault="00905004">
      <w:pPr>
        <w:spacing w:after="200" w:line="276" w:lineRule="auto"/>
        <w:rPr>
          <w:rFonts w:asciiTheme="majorHAnsi" w:eastAsiaTheme="majorEastAsia" w:hAnsiTheme="majorHAnsi" w:cstheme="majorBidi"/>
          <w:b/>
          <w:bCs/>
          <w:color w:val="284B63"/>
          <w:sz w:val="30"/>
          <w:szCs w:val="28"/>
        </w:rPr>
      </w:pPr>
      <w:r>
        <w:br w:type="page"/>
      </w:r>
    </w:p>
    <w:p w14:paraId="21D31354" w14:textId="3E2B49E9" w:rsidR="00D55154" w:rsidRDefault="00000000">
      <w:pPr>
        <w:pStyle w:val="Heading1"/>
      </w:pPr>
      <w:r>
        <w:lastRenderedPageBreak/>
        <w:t>Different Functions, Different Definitions of Success</w:t>
      </w:r>
    </w:p>
    <w:p w14:paraId="39993005" w14:textId="77777777" w:rsidR="00D55154" w:rsidRDefault="00000000">
      <w:pPr>
        <w:spacing w:after="40"/>
      </w:pPr>
      <w:r>
        <w:t>Procurement favored rapid implementation. Its leaders argued that the cost of one supplier failure could exceed years of program fees. A shutdown at AlloyWorks, for example, could interrupt production of a product family generating $8.6 million in weekly revenue. Procurement proposed enrolling the 100 largest suppliers first, then extending eligibility to smaller firms after the platform stabilized.</w:t>
      </w:r>
    </w:p>
    <w:p w14:paraId="44D3F3A0" w14:textId="77777777" w:rsidR="00D55154" w:rsidRDefault="00000000">
      <w:pPr>
        <w:spacing w:after="40"/>
      </w:pPr>
      <w:r>
        <w:t>Operations disagreed with a size-based rollout. Some of the largest suppliers had many customers and ready access to capital, while small specialized firms created the most serious continuity risk. Operations wanted a vulnerability score combining financial health, part uniqueness, inventory coverage, qualification time, and revenue at risk. It also wanted Northbridge to maintain a separate emergency fund for tooling, raw materials, or temporary prepayments when a critical supplier could not qualify for the bank program.</w:t>
      </w:r>
    </w:p>
    <w:p w14:paraId="123629BA" w14:textId="77777777" w:rsidR="00D55154" w:rsidRDefault="00000000">
      <w:pPr>
        <w:spacing w:after="40"/>
      </w:pPr>
      <w:r>
        <w:t>Treasury wanted to protect Northbridge’s own liquidity. The company was planning a $240 million plant expansion and had promised the board that net debt would remain below 2.0 times EBITDA. Treasury proposed extending standard terms to 90 days for all suppliers eligible for early payment, while maintaining 45- or 60-day terms for vulnerable suppliers that could not participate. This would maximize cash retention, but procurement warned that suppliers might see it as using the bank to impose still longer terms.</w:t>
      </w:r>
    </w:p>
    <w:p w14:paraId="42EB8DED" w14:textId="77777777" w:rsidR="00D55154" w:rsidRDefault="00000000">
      <w:pPr>
        <w:spacing w:after="40"/>
      </w:pPr>
      <w:r>
        <w:t>The sustainability and supplier-diversity teams raised another concern. A purely financial screen might systematically exclude young, rural, minority-owned, or recently established firms. Those suppliers often lacked audited statements or long credit histories, even when their operational performance was strong. A program designed to stabilize the network might therefore direct the cheapest financing to suppliers that already had the best access to capital.</w:t>
      </w:r>
    </w:p>
    <w:p w14:paraId="61B09044" w14:textId="77777777" w:rsidR="00D55154" w:rsidRDefault="00000000">
      <w:pPr>
        <w:pStyle w:val="Heading2"/>
      </w:pPr>
      <w:r>
        <w:t>Exhibit 4. Three Program Designs Under Discussion</w:t>
      </w:r>
    </w:p>
    <w:tbl>
      <w:tblPr>
        <w:tblStyle w:val="TableGrid"/>
        <w:tblW w:w="0" w:type="auto"/>
        <w:jc w:val="center"/>
        <w:tblLook w:val="04A0" w:firstRow="1" w:lastRow="0" w:firstColumn="1" w:lastColumn="0" w:noHBand="0" w:noVBand="1"/>
      </w:tblPr>
      <w:tblGrid>
        <w:gridCol w:w="1429"/>
        <w:gridCol w:w="1596"/>
        <w:gridCol w:w="1849"/>
        <w:gridCol w:w="1777"/>
        <w:gridCol w:w="1615"/>
        <w:gridCol w:w="2006"/>
      </w:tblGrid>
      <w:tr w:rsidR="00D55154" w14:paraId="2B9060CF" w14:textId="77777777">
        <w:trPr>
          <w:jc w:val="center"/>
        </w:trPr>
        <w:tc>
          <w:tcPr>
            <w:tcW w:w="1584" w:type="dxa"/>
            <w:shd w:val="clear" w:color="auto" w:fill="284B63"/>
            <w:tcMar>
              <w:top w:w="80" w:type="dxa"/>
              <w:left w:w="90" w:type="dxa"/>
              <w:bottom w:w="80" w:type="dxa"/>
              <w:right w:w="90" w:type="dxa"/>
            </w:tcMar>
            <w:vAlign w:val="center"/>
          </w:tcPr>
          <w:p w14:paraId="4D9B725E" w14:textId="77777777" w:rsidR="00D55154" w:rsidRDefault="00000000">
            <w:pPr>
              <w:pStyle w:val="ExhibitTableHeader"/>
            </w:pPr>
            <w:r>
              <w:t>Design</w:t>
            </w:r>
          </w:p>
        </w:tc>
        <w:tc>
          <w:tcPr>
            <w:tcW w:w="1800" w:type="dxa"/>
            <w:shd w:val="clear" w:color="auto" w:fill="284B63"/>
            <w:tcMar>
              <w:top w:w="80" w:type="dxa"/>
              <w:left w:w="90" w:type="dxa"/>
              <w:bottom w:w="80" w:type="dxa"/>
              <w:right w:w="90" w:type="dxa"/>
            </w:tcMar>
            <w:vAlign w:val="center"/>
          </w:tcPr>
          <w:p w14:paraId="5F7F6F0A" w14:textId="77777777" w:rsidR="00D55154" w:rsidRDefault="00000000">
            <w:pPr>
              <w:pStyle w:val="ExhibitTableHeader"/>
            </w:pPr>
            <w:r>
              <w:t>Payment terms</w:t>
            </w:r>
          </w:p>
        </w:tc>
        <w:tc>
          <w:tcPr>
            <w:tcW w:w="2088" w:type="dxa"/>
            <w:shd w:val="clear" w:color="auto" w:fill="284B63"/>
            <w:tcMar>
              <w:top w:w="80" w:type="dxa"/>
              <w:left w:w="90" w:type="dxa"/>
              <w:bottom w:w="80" w:type="dxa"/>
              <w:right w:w="90" w:type="dxa"/>
            </w:tcMar>
            <w:vAlign w:val="center"/>
          </w:tcPr>
          <w:p w14:paraId="36D3CC3E" w14:textId="77777777" w:rsidR="00D55154" w:rsidRDefault="00000000">
            <w:pPr>
              <w:pStyle w:val="ExhibitTableHeader"/>
            </w:pPr>
            <w:r>
              <w:t>Early-pay funding</w:t>
            </w:r>
          </w:p>
        </w:tc>
        <w:tc>
          <w:tcPr>
            <w:tcW w:w="1944" w:type="dxa"/>
            <w:shd w:val="clear" w:color="auto" w:fill="284B63"/>
            <w:tcMar>
              <w:top w:w="80" w:type="dxa"/>
              <w:left w:w="90" w:type="dxa"/>
              <w:bottom w:w="80" w:type="dxa"/>
              <w:right w:w="90" w:type="dxa"/>
            </w:tcMar>
            <w:vAlign w:val="center"/>
          </w:tcPr>
          <w:p w14:paraId="764F38CB" w14:textId="77777777" w:rsidR="00D55154" w:rsidRDefault="00000000">
            <w:pPr>
              <w:pStyle w:val="ExhibitTableHeader"/>
            </w:pPr>
            <w:r>
              <w:t>Initial scope</w:t>
            </w:r>
          </w:p>
        </w:tc>
        <w:tc>
          <w:tcPr>
            <w:tcW w:w="1800" w:type="dxa"/>
            <w:shd w:val="clear" w:color="auto" w:fill="284B63"/>
            <w:tcMar>
              <w:top w:w="80" w:type="dxa"/>
              <w:left w:w="90" w:type="dxa"/>
              <w:bottom w:w="80" w:type="dxa"/>
              <w:right w:w="90" w:type="dxa"/>
            </w:tcMar>
            <w:vAlign w:val="center"/>
          </w:tcPr>
          <w:p w14:paraId="5842AE85" w14:textId="77777777" w:rsidR="00D55154" w:rsidRDefault="00000000">
            <w:pPr>
              <w:pStyle w:val="ExhibitTableHeader"/>
            </w:pPr>
            <w:r>
              <w:t>Estimated first-year cash benefit</w:t>
            </w:r>
          </w:p>
        </w:tc>
        <w:tc>
          <w:tcPr>
            <w:tcW w:w="2232" w:type="dxa"/>
            <w:shd w:val="clear" w:color="auto" w:fill="284B63"/>
            <w:tcMar>
              <w:top w:w="80" w:type="dxa"/>
              <w:left w:w="90" w:type="dxa"/>
              <w:bottom w:w="80" w:type="dxa"/>
              <w:right w:w="90" w:type="dxa"/>
            </w:tcMar>
            <w:vAlign w:val="center"/>
          </w:tcPr>
          <w:p w14:paraId="112DF804" w14:textId="77777777" w:rsidR="00D55154" w:rsidRDefault="00000000">
            <w:pPr>
              <w:pStyle w:val="ExhibitTableHeader"/>
            </w:pPr>
            <w:r>
              <w:t>Primary concern</w:t>
            </w:r>
          </w:p>
        </w:tc>
      </w:tr>
      <w:tr w:rsidR="00D55154" w14:paraId="708FC028" w14:textId="77777777">
        <w:trPr>
          <w:jc w:val="center"/>
        </w:trPr>
        <w:tc>
          <w:tcPr>
            <w:tcW w:w="1584" w:type="dxa"/>
            <w:tcMar>
              <w:top w:w="80" w:type="dxa"/>
              <w:left w:w="90" w:type="dxa"/>
              <w:bottom w:w="80" w:type="dxa"/>
              <w:right w:w="90" w:type="dxa"/>
            </w:tcMar>
            <w:vAlign w:val="center"/>
          </w:tcPr>
          <w:p w14:paraId="5CDEB73F" w14:textId="77777777" w:rsidR="00D55154" w:rsidRDefault="00000000">
            <w:pPr>
              <w:pStyle w:val="ExhibitTableBody"/>
            </w:pPr>
            <w:r>
              <w:t>Broad extension</w:t>
            </w:r>
          </w:p>
        </w:tc>
        <w:tc>
          <w:tcPr>
            <w:tcW w:w="1800" w:type="dxa"/>
            <w:tcMar>
              <w:top w:w="80" w:type="dxa"/>
              <w:left w:w="90" w:type="dxa"/>
              <w:bottom w:w="80" w:type="dxa"/>
              <w:right w:w="90" w:type="dxa"/>
            </w:tcMar>
            <w:vAlign w:val="center"/>
          </w:tcPr>
          <w:p w14:paraId="6728C1C1" w14:textId="77777777" w:rsidR="00D55154" w:rsidRDefault="00000000">
            <w:pPr>
              <w:pStyle w:val="ExhibitTableBody"/>
            </w:pPr>
            <w:r>
              <w:t>90 days for eligible suppliers</w:t>
            </w:r>
          </w:p>
        </w:tc>
        <w:tc>
          <w:tcPr>
            <w:tcW w:w="2088" w:type="dxa"/>
            <w:tcMar>
              <w:top w:w="80" w:type="dxa"/>
              <w:left w:w="90" w:type="dxa"/>
              <w:bottom w:w="80" w:type="dxa"/>
              <w:right w:w="90" w:type="dxa"/>
            </w:tcMar>
            <w:vAlign w:val="center"/>
          </w:tcPr>
          <w:p w14:paraId="219DE919" w14:textId="77777777" w:rsidR="00D55154" w:rsidRDefault="00000000">
            <w:pPr>
              <w:pStyle w:val="ExhibitTableBody"/>
            </w:pPr>
            <w:r>
              <w:t>Bank-funded; supplier pays discount</w:t>
            </w:r>
          </w:p>
        </w:tc>
        <w:tc>
          <w:tcPr>
            <w:tcW w:w="1944" w:type="dxa"/>
            <w:tcMar>
              <w:top w:w="80" w:type="dxa"/>
              <w:left w:w="90" w:type="dxa"/>
              <w:bottom w:w="80" w:type="dxa"/>
              <w:right w:w="90" w:type="dxa"/>
            </w:tcMar>
            <w:vAlign w:val="center"/>
          </w:tcPr>
          <w:p w14:paraId="420431B5" w14:textId="77777777" w:rsidR="00D55154" w:rsidRDefault="00000000">
            <w:pPr>
              <w:pStyle w:val="ExhibitTableBody"/>
            </w:pPr>
            <w:r>
              <w:t>Top 250 suppliers</w:t>
            </w:r>
          </w:p>
        </w:tc>
        <w:tc>
          <w:tcPr>
            <w:tcW w:w="1800" w:type="dxa"/>
            <w:tcMar>
              <w:top w:w="80" w:type="dxa"/>
              <w:left w:w="90" w:type="dxa"/>
              <w:bottom w:w="80" w:type="dxa"/>
              <w:right w:w="90" w:type="dxa"/>
            </w:tcMar>
            <w:vAlign w:val="center"/>
          </w:tcPr>
          <w:p w14:paraId="35F3CD7D" w14:textId="77777777" w:rsidR="00D55154" w:rsidRDefault="00000000">
            <w:pPr>
              <w:pStyle w:val="ExhibitTableBody"/>
            </w:pPr>
            <w:r>
              <w:t>$118M</w:t>
            </w:r>
          </w:p>
        </w:tc>
        <w:tc>
          <w:tcPr>
            <w:tcW w:w="2232" w:type="dxa"/>
            <w:tcMar>
              <w:top w:w="80" w:type="dxa"/>
              <w:left w:w="90" w:type="dxa"/>
              <w:bottom w:w="80" w:type="dxa"/>
              <w:right w:w="90" w:type="dxa"/>
            </w:tcMar>
            <w:vAlign w:val="center"/>
          </w:tcPr>
          <w:p w14:paraId="651EFAFE" w14:textId="77777777" w:rsidR="00D55154" w:rsidRDefault="00000000">
            <w:pPr>
              <w:pStyle w:val="ExhibitTableBody"/>
            </w:pPr>
            <w:r>
              <w:t>Supplier resistance and optics</w:t>
            </w:r>
          </w:p>
        </w:tc>
      </w:tr>
      <w:tr w:rsidR="00D55154" w14:paraId="38070511" w14:textId="77777777">
        <w:trPr>
          <w:jc w:val="center"/>
        </w:trPr>
        <w:tc>
          <w:tcPr>
            <w:tcW w:w="1584" w:type="dxa"/>
            <w:shd w:val="clear" w:color="auto" w:fill="EAF0F4"/>
            <w:tcMar>
              <w:top w:w="80" w:type="dxa"/>
              <w:left w:w="90" w:type="dxa"/>
              <w:bottom w:w="80" w:type="dxa"/>
              <w:right w:w="90" w:type="dxa"/>
            </w:tcMar>
            <w:vAlign w:val="center"/>
          </w:tcPr>
          <w:p w14:paraId="55CBAF39" w14:textId="77777777" w:rsidR="00D55154" w:rsidRDefault="00000000">
            <w:pPr>
              <w:pStyle w:val="ExhibitTableBody"/>
            </w:pPr>
            <w:r>
              <w:t>Targeted resilience</w:t>
            </w:r>
          </w:p>
        </w:tc>
        <w:tc>
          <w:tcPr>
            <w:tcW w:w="1800" w:type="dxa"/>
            <w:shd w:val="clear" w:color="auto" w:fill="EAF0F4"/>
            <w:tcMar>
              <w:top w:w="80" w:type="dxa"/>
              <w:left w:w="90" w:type="dxa"/>
              <w:bottom w:w="80" w:type="dxa"/>
              <w:right w:w="90" w:type="dxa"/>
            </w:tcMar>
            <w:vAlign w:val="center"/>
          </w:tcPr>
          <w:p w14:paraId="020DFEBE" w14:textId="77777777" w:rsidR="00D55154" w:rsidRDefault="00000000">
            <w:pPr>
              <w:pStyle w:val="ExhibitTableBody"/>
            </w:pPr>
            <w:r>
              <w:t>Current terms retained</w:t>
            </w:r>
          </w:p>
        </w:tc>
        <w:tc>
          <w:tcPr>
            <w:tcW w:w="2088" w:type="dxa"/>
            <w:shd w:val="clear" w:color="auto" w:fill="EAF0F4"/>
            <w:tcMar>
              <w:top w:w="80" w:type="dxa"/>
              <w:left w:w="90" w:type="dxa"/>
              <w:bottom w:w="80" w:type="dxa"/>
              <w:right w:w="90" w:type="dxa"/>
            </w:tcMar>
            <w:vAlign w:val="center"/>
          </w:tcPr>
          <w:p w14:paraId="6DF27B1D" w14:textId="77777777" w:rsidR="00D55154" w:rsidRDefault="00000000">
            <w:pPr>
              <w:pStyle w:val="ExhibitTableBody"/>
            </w:pPr>
            <w:r>
              <w:t>Bank plus limited company subsidy</w:t>
            </w:r>
          </w:p>
        </w:tc>
        <w:tc>
          <w:tcPr>
            <w:tcW w:w="1944" w:type="dxa"/>
            <w:shd w:val="clear" w:color="auto" w:fill="EAF0F4"/>
            <w:tcMar>
              <w:top w:w="80" w:type="dxa"/>
              <w:left w:w="90" w:type="dxa"/>
              <w:bottom w:w="80" w:type="dxa"/>
              <w:right w:w="90" w:type="dxa"/>
            </w:tcMar>
            <w:vAlign w:val="center"/>
          </w:tcPr>
          <w:p w14:paraId="0A69FB4E" w14:textId="77777777" w:rsidR="00D55154" w:rsidRDefault="00000000">
            <w:pPr>
              <w:pStyle w:val="ExhibitTableBody"/>
            </w:pPr>
            <w:r>
              <w:t>47 vulnerable critical suppliers</w:t>
            </w:r>
          </w:p>
        </w:tc>
        <w:tc>
          <w:tcPr>
            <w:tcW w:w="1800" w:type="dxa"/>
            <w:shd w:val="clear" w:color="auto" w:fill="EAF0F4"/>
            <w:tcMar>
              <w:top w:w="80" w:type="dxa"/>
              <w:left w:w="90" w:type="dxa"/>
              <w:bottom w:w="80" w:type="dxa"/>
              <w:right w:w="90" w:type="dxa"/>
            </w:tcMar>
            <w:vAlign w:val="center"/>
          </w:tcPr>
          <w:p w14:paraId="1EDA9BCE" w14:textId="77777777" w:rsidR="00D55154" w:rsidRDefault="00000000">
            <w:pPr>
              <w:pStyle w:val="ExhibitTableBody"/>
            </w:pPr>
            <w:r>
              <w:t>$34M</w:t>
            </w:r>
          </w:p>
        </w:tc>
        <w:tc>
          <w:tcPr>
            <w:tcW w:w="2232" w:type="dxa"/>
            <w:shd w:val="clear" w:color="auto" w:fill="EAF0F4"/>
            <w:tcMar>
              <w:top w:w="80" w:type="dxa"/>
              <w:left w:w="90" w:type="dxa"/>
              <w:bottom w:w="80" w:type="dxa"/>
              <w:right w:w="90" w:type="dxa"/>
            </w:tcMar>
            <w:vAlign w:val="center"/>
          </w:tcPr>
          <w:p w14:paraId="4397F7B7" w14:textId="77777777" w:rsidR="00D55154" w:rsidRDefault="00000000">
            <w:pPr>
              <w:pStyle w:val="ExhibitTableBody"/>
            </w:pPr>
            <w:r>
              <w:t>Less cash benefit; complex selection</w:t>
            </w:r>
          </w:p>
        </w:tc>
      </w:tr>
      <w:tr w:rsidR="00D55154" w14:paraId="7780CDFA" w14:textId="77777777">
        <w:trPr>
          <w:jc w:val="center"/>
        </w:trPr>
        <w:tc>
          <w:tcPr>
            <w:tcW w:w="1584" w:type="dxa"/>
            <w:tcMar>
              <w:top w:w="80" w:type="dxa"/>
              <w:left w:w="90" w:type="dxa"/>
              <w:bottom w:w="80" w:type="dxa"/>
              <w:right w:w="90" w:type="dxa"/>
            </w:tcMar>
            <w:vAlign w:val="center"/>
          </w:tcPr>
          <w:p w14:paraId="005A3200" w14:textId="77777777" w:rsidR="00D55154" w:rsidRDefault="00000000">
            <w:pPr>
              <w:pStyle w:val="ExhibitTableBody"/>
            </w:pPr>
            <w:r>
              <w:t>Tiered portfolio</w:t>
            </w:r>
          </w:p>
        </w:tc>
        <w:tc>
          <w:tcPr>
            <w:tcW w:w="1800" w:type="dxa"/>
            <w:tcMar>
              <w:top w:w="80" w:type="dxa"/>
              <w:left w:w="90" w:type="dxa"/>
              <w:bottom w:w="80" w:type="dxa"/>
              <w:right w:w="90" w:type="dxa"/>
            </w:tcMar>
            <w:vAlign w:val="center"/>
          </w:tcPr>
          <w:p w14:paraId="1F3CCECB" w14:textId="77777777" w:rsidR="00D55154" w:rsidRDefault="00000000">
            <w:pPr>
              <w:pStyle w:val="ExhibitTableBody"/>
            </w:pPr>
            <w:r>
              <w:t>60–90 days by segment</w:t>
            </w:r>
          </w:p>
        </w:tc>
        <w:tc>
          <w:tcPr>
            <w:tcW w:w="2088" w:type="dxa"/>
            <w:tcMar>
              <w:top w:w="80" w:type="dxa"/>
              <w:left w:w="90" w:type="dxa"/>
              <w:bottom w:w="80" w:type="dxa"/>
              <w:right w:w="90" w:type="dxa"/>
            </w:tcMar>
            <w:vAlign w:val="center"/>
          </w:tcPr>
          <w:p w14:paraId="7AD5FC57" w14:textId="77777777" w:rsidR="00D55154" w:rsidRDefault="00000000">
            <w:pPr>
              <w:pStyle w:val="ExhibitTableBody"/>
            </w:pPr>
            <w:r>
              <w:t>Bank, company cash, or emergency support</w:t>
            </w:r>
          </w:p>
        </w:tc>
        <w:tc>
          <w:tcPr>
            <w:tcW w:w="1944" w:type="dxa"/>
            <w:tcMar>
              <w:top w:w="80" w:type="dxa"/>
              <w:left w:w="90" w:type="dxa"/>
              <w:bottom w:w="80" w:type="dxa"/>
              <w:right w:w="90" w:type="dxa"/>
            </w:tcMar>
            <w:vAlign w:val="center"/>
          </w:tcPr>
          <w:p w14:paraId="7E3E7F7A" w14:textId="77777777" w:rsidR="00D55154" w:rsidRDefault="00000000">
            <w:pPr>
              <w:pStyle w:val="ExhibitTableBody"/>
            </w:pPr>
            <w:r>
              <w:t>Approximately 160 suppliers</w:t>
            </w:r>
          </w:p>
        </w:tc>
        <w:tc>
          <w:tcPr>
            <w:tcW w:w="1800" w:type="dxa"/>
            <w:tcMar>
              <w:top w:w="80" w:type="dxa"/>
              <w:left w:w="90" w:type="dxa"/>
              <w:bottom w:w="80" w:type="dxa"/>
              <w:right w:w="90" w:type="dxa"/>
            </w:tcMar>
            <w:vAlign w:val="center"/>
          </w:tcPr>
          <w:p w14:paraId="3EAD5E7C" w14:textId="77777777" w:rsidR="00D55154" w:rsidRDefault="00000000">
            <w:pPr>
              <w:pStyle w:val="ExhibitTableBody"/>
            </w:pPr>
            <w:r>
              <w:t>$72M</w:t>
            </w:r>
          </w:p>
        </w:tc>
        <w:tc>
          <w:tcPr>
            <w:tcW w:w="2232" w:type="dxa"/>
            <w:tcMar>
              <w:top w:w="80" w:type="dxa"/>
              <w:left w:w="90" w:type="dxa"/>
              <w:bottom w:w="80" w:type="dxa"/>
              <w:right w:w="90" w:type="dxa"/>
            </w:tcMar>
            <w:vAlign w:val="center"/>
          </w:tcPr>
          <w:p w14:paraId="1C0E9BEF" w14:textId="77777777" w:rsidR="00D55154" w:rsidRDefault="00000000">
            <w:pPr>
              <w:pStyle w:val="ExhibitTableBody"/>
            </w:pPr>
            <w:r>
              <w:t>Governance and administrative burden</w:t>
            </w:r>
          </w:p>
        </w:tc>
      </w:tr>
    </w:tbl>
    <w:p w14:paraId="236AEBD4" w14:textId="77777777" w:rsidR="00D55154" w:rsidRDefault="00D55154">
      <w:pPr>
        <w:pStyle w:val="CaseSpacer"/>
      </w:pPr>
    </w:p>
    <w:p w14:paraId="57E5EF2B" w14:textId="77777777" w:rsidR="00D55154" w:rsidRDefault="00000000">
      <w:pPr>
        <w:pStyle w:val="Heading1"/>
      </w:pPr>
      <w:r>
        <w:t>The Information Problem</w:t>
      </w:r>
    </w:p>
    <w:p w14:paraId="2B152594" w14:textId="77777777" w:rsidR="00D55154" w:rsidRDefault="00000000">
      <w:pPr>
        <w:spacing w:after="40"/>
      </w:pPr>
      <w:r>
        <w:t>The program depended on approved invoices, but Northbridge’s invoice process was inconsistent. The median invoice was approved in eight days, while 17% took more than 20 days. Common causes included quantity disputes, missing receiving records, price mismatches, and invoices sent to the wrong entity. A supplier could not request early payment until approval, so a slow process could erase much of the benefit.</w:t>
      </w:r>
    </w:p>
    <w:p w14:paraId="654F7A40" w14:textId="77777777" w:rsidR="00D55154" w:rsidRDefault="00000000">
      <w:pPr>
        <w:spacing w:after="40"/>
      </w:pPr>
      <w:r>
        <w:t>The company also lacked a reliable measure of supplier financial health. Procurement collected annual questionnaires, commercial credit scores, quality results, delivery performance, and informal observations from buyers. These sources sometimes conflicted. One supplier with a weak credit score had never missed a shipment in twelve years. Another with strong financial statements had recently lost its plant manager and was struggling with labor turnover. Chen wondered whether Northbridge should ask suppliers directly about cash needs, but procurement feared that suppliers would either hide distress or exaggerate it to obtain favorable treatment.</w:t>
      </w:r>
    </w:p>
    <w:p w14:paraId="3511E123" w14:textId="77777777" w:rsidR="00D55154" w:rsidRDefault="00000000">
      <w:pPr>
        <w:spacing w:after="40"/>
      </w:pPr>
      <w:r>
        <w:t>The bank proposed integrating account data, invoice history, shipment records, and external risk scores. The platform could flag unusual duplicate invoices, concentration, or rapid changes in payment behavior. Legal counsel warned that false alarms could damage supplier relationships, while missed warnings could create a false sense of security. Cybersecurity staff estimated a nine-month implementation if the program used full integration, versus four months for a more limited file-based launch.</w:t>
      </w:r>
    </w:p>
    <w:p w14:paraId="09F6C72C" w14:textId="77777777" w:rsidR="00D55154" w:rsidRDefault="00000000">
      <w:pPr>
        <w:pStyle w:val="Heading2"/>
      </w:pPr>
      <w:r>
        <w:lastRenderedPageBreak/>
        <w:t>Exhibit 5. Invoice and Supplier-Risk Indicators</w:t>
      </w:r>
    </w:p>
    <w:tbl>
      <w:tblPr>
        <w:tblStyle w:val="TableGrid"/>
        <w:tblW w:w="0" w:type="auto"/>
        <w:jc w:val="center"/>
        <w:tblLook w:val="04A0" w:firstRow="1" w:lastRow="0" w:firstColumn="1" w:lastColumn="0" w:noHBand="0" w:noVBand="1"/>
      </w:tblPr>
      <w:tblGrid>
        <w:gridCol w:w="4608"/>
        <w:gridCol w:w="2232"/>
        <w:gridCol w:w="2520"/>
      </w:tblGrid>
      <w:tr w:rsidR="00D55154" w14:paraId="62E342C7" w14:textId="77777777">
        <w:trPr>
          <w:jc w:val="center"/>
        </w:trPr>
        <w:tc>
          <w:tcPr>
            <w:tcW w:w="4608" w:type="dxa"/>
            <w:shd w:val="clear" w:color="auto" w:fill="284B63"/>
            <w:tcMar>
              <w:top w:w="80" w:type="dxa"/>
              <w:left w:w="90" w:type="dxa"/>
              <w:bottom w:w="80" w:type="dxa"/>
              <w:right w:w="90" w:type="dxa"/>
            </w:tcMar>
            <w:vAlign w:val="center"/>
          </w:tcPr>
          <w:p w14:paraId="5B439316" w14:textId="77777777" w:rsidR="00D55154" w:rsidRDefault="00000000">
            <w:pPr>
              <w:pStyle w:val="ExhibitTableHeader"/>
            </w:pPr>
            <w:r>
              <w:rPr>
                <w:sz w:val="16"/>
              </w:rPr>
              <w:t>Indicator</w:t>
            </w:r>
          </w:p>
        </w:tc>
        <w:tc>
          <w:tcPr>
            <w:tcW w:w="2232" w:type="dxa"/>
            <w:shd w:val="clear" w:color="auto" w:fill="284B63"/>
            <w:tcMar>
              <w:top w:w="80" w:type="dxa"/>
              <w:left w:w="90" w:type="dxa"/>
              <w:bottom w:w="80" w:type="dxa"/>
              <w:right w:w="90" w:type="dxa"/>
            </w:tcMar>
            <w:vAlign w:val="center"/>
          </w:tcPr>
          <w:p w14:paraId="4A6EA45C" w14:textId="77777777" w:rsidR="00D55154" w:rsidRDefault="00000000">
            <w:pPr>
              <w:pStyle w:val="ExhibitTableHeader"/>
            </w:pPr>
            <w:r>
              <w:rPr>
                <w:sz w:val="16"/>
              </w:rPr>
              <w:t>Current result</w:t>
            </w:r>
          </w:p>
        </w:tc>
        <w:tc>
          <w:tcPr>
            <w:tcW w:w="2520" w:type="dxa"/>
            <w:shd w:val="clear" w:color="auto" w:fill="284B63"/>
            <w:tcMar>
              <w:top w:w="80" w:type="dxa"/>
              <w:left w:w="90" w:type="dxa"/>
              <w:bottom w:w="80" w:type="dxa"/>
              <w:right w:w="90" w:type="dxa"/>
            </w:tcMar>
            <w:vAlign w:val="center"/>
          </w:tcPr>
          <w:p w14:paraId="11A43072" w14:textId="77777777" w:rsidR="00D55154" w:rsidRDefault="00000000">
            <w:pPr>
              <w:pStyle w:val="ExhibitTableHeader"/>
            </w:pPr>
            <w:r>
              <w:rPr>
                <w:sz w:val="16"/>
              </w:rPr>
              <w:t>Proposed year-one target</w:t>
            </w:r>
          </w:p>
        </w:tc>
      </w:tr>
      <w:tr w:rsidR="00D55154" w14:paraId="2128898C" w14:textId="77777777">
        <w:trPr>
          <w:jc w:val="center"/>
        </w:trPr>
        <w:tc>
          <w:tcPr>
            <w:tcW w:w="4608" w:type="dxa"/>
            <w:tcMar>
              <w:top w:w="80" w:type="dxa"/>
              <w:left w:w="90" w:type="dxa"/>
              <w:bottom w:w="80" w:type="dxa"/>
              <w:right w:w="90" w:type="dxa"/>
            </w:tcMar>
            <w:vAlign w:val="center"/>
          </w:tcPr>
          <w:p w14:paraId="4385C36E" w14:textId="77777777" w:rsidR="00D55154" w:rsidRDefault="00000000">
            <w:pPr>
              <w:pStyle w:val="ExhibitTableBody"/>
            </w:pPr>
            <w:r>
              <w:rPr>
                <w:sz w:val="16"/>
              </w:rPr>
              <w:t>Median invoice approval time</w:t>
            </w:r>
          </w:p>
        </w:tc>
        <w:tc>
          <w:tcPr>
            <w:tcW w:w="2232" w:type="dxa"/>
            <w:tcMar>
              <w:top w:w="80" w:type="dxa"/>
              <w:left w:w="90" w:type="dxa"/>
              <w:bottom w:w="80" w:type="dxa"/>
              <w:right w:w="90" w:type="dxa"/>
            </w:tcMar>
            <w:vAlign w:val="center"/>
          </w:tcPr>
          <w:p w14:paraId="7DA72574" w14:textId="77777777" w:rsidR="00D55154" w:rsidRDefault="00000000">
            <w:pPr>
              <w:pStyle w:val="ExhibitTableBody"/>
            </w:pPr>
            <w:r>
              <w:rPr>
                <w:sz w:val="16"/>
              </w:rPr>
              <w:t>8 days</w:t>
            </w:r>
          </w:p>
        </w:tc>
        <w:tc>
          <w:tcPr>
            <w:tcW w:w="2520" w:type="dxa"/>
            <w:tcMar>
              <w:top w:w="80" w:type="dxa"/>
              <w:left w:w="90" w:type="dxa"/>
              <w:bottom w:w="80" w:type="dxa"/>
              <w:right w:w="90" w:type="dxa"/>
            </w:tcMar>
            <w:vAlign w:val="center"/>
          </w:tcPr>
          <w:p w14:paraId="1054D2D2" w14:textId="77777777" w:rsidR="00D55154" w:rsidRDefault="00000000">
            <w:pPr>
              <w:pStyle w:val="ExhibitTableBody"/>
            </w:pPr>
            <w:r>
              <w:rPr>
                <w:sz w:val="16"/>
              </w:rPr>
              <w:t>3 days</w:t>
            </w:r>
          </w:p>
        </w:tc>
      </w:tr>
      <w:tr w:rsidR="00D55154" w14:paraId="4A1C6921" w14:textId="77777777">
        <w:trPr>
          <w:jc w:val="center"/>
        </w:trPr>
        <w:tc>
          <w:tcPr>
            <w:tcW w:w="4608" w:type="dxa"/>
            <w:shd w:val="clear" w:color="auto" w:fill="EAF0F4"/>
            <w:tcMar>
              <w:top w:w="80" w:type="dxa"/>
              <w:left w:w="90" w:type="dxa"/>
              <w:bottom w:w="80" w:type="dxa"/>
              <w:right w:w="90" w:type="dxa"/>
            </w:tcMar>
            <w:vAlign w:val="center"/>
          </w:tcPr>
          <w:p w14:paraId="2B318FBC" w14:textId="77777777" w:rsidR="00D55154" w:rsidRDefault="00000000">
            <w:pPr>
              <w:pStyle w:val="ExhibitTableBody"/>
            </w:pPr>
            <w:r>
              <w:rPr>
                <w:sz w:val="16"/>
              </w:rPr>
              <w:t>Invoices approved after 20 days</w:t>
            </w:r>
          </w:p>
        </w:tc>
        <w:tc>
          <w:tcPr>
            <w:tcW w:w="2232" w:type="dxa"/>
            <w:shd w:val="clear" w:color="auto" w:fill="EAF0F4"/>
            <w:tcMar>
              <w:top w:w="80" w:type="dxa"/>
              <w:left w:w="90" w:type="dxa"/>
              <w:bottom w:w="80" w:type="dxa"/>
              <w:right w:w="90" w:type="dxa"/>
            </w:tcMar>
            <w:vAlign w:val="center"/>
          </w:tcPr>
          <w:p w14:paraId="2763EAE7" w14:textId="77777777" w:rsidR="00D55154" w:rsidRDefault="00000000">
            <w:pPr>
              <w:pStyle w:val="ExhibitTableBody"/>
            </w:pPr>
            <w:r>
              <w:rPr>
                <w:sz w:val="16"/>
              </w:rPr>
              <w:t>17%</w:t>
            </w:r>
          </w:p>
        </w:tc>
        <w:tc>
          <w:tcPr>
            <w:tcW w:w="2520" w:type="dxa"/>
            <w:shd w:val="clear" w:color="auto" w:fill="EAF0F4"/>
            <w:tcMar>
              <w:top w:w="80" w:type="dxa"/>
              <w:left w:w="90" w:type="dxa"/>
              <w:bottom w:w="80" w:type="dxa"/>
              <w:right w:w="90" w:type="dxa"/>
            </w:tcMar>
            <w:vAlign w:val="center"/>
          </w:tcPr>
          <w:p w14:paraId="3F375DF5" w14:textId="77777777" w:rsidR="00D55154" w:rsidRDefault="00000000">
            <w:pPr>
              <w:pStyle w:val="ExhibitTableBody"/>
            </w:pPr>
            <w:r>
              <w:rPr>
                <w:sz w:val="16"/>
              </w:rPr>
              <w:t>Below 5%</w:t>
            </w:r>
          </w:p>
        </w:tc>
      </w:tr>
      <w:tr w:rsidR="00D55154" w14:paraId="38CB2F51" w14:textId="77777777">
        <w:trPr>
          <w:jc w:val="center"/>
        </w:trPr>
        <w:tc>
          <w:tcPr>
            <w:tcW w:w="4608" w:type="dxa"/>
            <w:tcMar>
              <w:top w:w="80" w:type="dxa"/>
              <w:left w:w="90" w:type="dxa"/>
              <w:bottom w:w="80" w:type="dxa"/>
              <w:right w:w="90" w:type="dxa"/>
            </w:tcMar>
            <w:vAlign w:val="center"/>
          </w:tcPr>
          <w:p w14:paraId="3EF9EAC2" w14:textId="77777777" w:rsidR="00D55154" w:rsidRDefault="00000000">
            <w:pPr>
              <w:pStyle w:val="ExhibitTableBody"/>
            </w:pPr>
            <w:r>
              <w:rPr>
                <w:sz w:val="16"/>
              </w:rPr>
              <w:t>Invoices disputed after approval</w:t>
            </w:r>
          </w:p>
        </w:tc>
        <w:tc>
          <w:tcPr>
            <w:tcW w:w="2232" w:type="dxa"/>
            <w:tcMar>
              <w:top w:w="80" w:type="dxa"/>
              <w:left w:w="90" w:type="dxa"/>
              <w:bottom w:w="80" w:type="dxa"/>
              <w:right w:w="90" w:type="dxa"/>
            </w:tcMar>
            <w:vAlign w:val="center"/>
          </w:tcPr>
          <w:p w14:paraId="14AFF12A" w14:textId="77777777" w:rsidR="00D55154" w:rsidRDefault="00000000">
            <w:pPr>
              <w:pStyle w:val="ExhibitTableBody"/>
            </w:pPr>
            <w:r>
              <w:rPr>
                <w:sz w:val="16"/>
              </w:rPr>
              <w:t>2.8%</w:t>
            </w:r>
          </w:p>
        </w:tc>
        <w:tc>
          <w:tcPr>
            <w:tcW w:w="2520" w:type="dxa"/>
            <w:tcMar>
              <w:top w:w="80" w:type="dxa"/>
              <w:left w:w="90" w:type="dxa"/>
              <w:bottom w:w="80" w:type="dxa"/>
              <w:right w:w="90" w:type="dxa"/>
            </w:tcMar>
            <w:vAlign w:val="center"/>
          </w:tcPr>
          <w:p w14:paraId="3CC3A62F" w14:textId="77777777" w:rsidR="00D55154" w:rsidRDefault="00000000">
            <w:pPr>
              <w:pStyle w:val="ExhibitTableBody"/>
            </w:pPr>
            <w:r>
              <w:rPr>
                <w:sz w:val="16"/>
              </w:rPr>
              <w:t>Below 1%</w:t>
            </w:r>
          </w:p>
        </w:tc>
      </w:tr>
      <w:tr w:rsidR="00D55154" w14:paraId="43CCA406" w14:textId="77777777">
        <w:trPr>
          <w:jc w:val="center"/>
        </w:trPr>
        <w:tc>
          <w:tcPr>
            <w:tcW w:w="4608" w:type="dxa"/>
            <w:shd w:val="clear" w:color="auto" w:fill="EAF0F4"/>
            <w:tcMar>
              <w:top w:w="80" w:type="dxa"/>
              <w:left w:w="90" w:type="dxa"/>
              <w:bottom w:w="80" w:type="dxa"/>
              <w:right w:w="90" w:type="dxa"/>
            </w:tcMar>
            <w:vAlign w:val="center"/>
          </w:tcPr>
          <w:p w14:paraId="65E312E3" w14:textId="77777777" w:rsidR="00D55154" w:rsidRDefault="00000000">
            <w:pPr>
              <w:pStyle w:val="ExhibitTableBody"/>
            </w:pPr>
            <w:r>
              <w:rPr>
                <w:sz w:val="16"/>
              </w:rPr>
              <w:t>Critical suppliers with current financial data</w:t>
            </w:r>
          </w:p>
        </w:tc>
        <w:tc>
          <w:tcPr>
            <w:tcW w:w="2232" w:type="dxa"/>
            <w:shd w:val="clear" w:color="auto" w:fill="EAF0F4"/>
            <w:tcMar>
              <w:top w:w="80" w:type="dxa"/>
              <w:left w:w="90" w:type="dxa"/>
              <w:bottom w:w="80" w:type="dxa"/>
              <w:right w:w="90" w:type="dxa"/>
            </w:tcMar>
            <w:vAlign w:val="center"/>
          </w:tcPr>
          <w:p w14:paraId="53586DD9" w14:textId="77777777" w:rsidR="00D55154" w:rsidRDefault="00000000">
            <w:pPr>
              <w:pStyle w:val="ExhibitTableBody"/>
            </w:pPr>
            <w:r>
              <w:rPr>
                <w:sz w:val="16"/>
              </w:rPr>
              <w:t>61%</w:t>
            </w:r>
          </w:p>
        </w:tc>
        <w:tc>
          <w:tcPr>
            <w:tcW w:w="2520" w:type="dxa"/>
            <w:shd w:val="clear" w:color="auto" w:fill="EAF0F4"/>
            <w:tcMar>
              <w:top w:w="80" w:type="dxa"/>
              <w:left w:w="90" w:type="dxa"/>
              <w:bottom w:w="80" w:type="dxa"/>
              <w:right w:w="90" w:type="dxa"/>
            </w:tcMar>
            <w:vAlign w:val="center"/>
          </w:tcPr>
          <w:p w14:paraId="027B0071" w14:textId="77777777" w:rsidR="00D55154" w:rsidRDefault="00000000">
            <w:pPr>
              <w:pStyle w:val="ExhibitTableBody"/>
            </w:pPr>
            <w:r>
              <w:rPr>
                <w:sz w:val="16"/>
              </w:rPr>
              <w:t>90%</w:t>
            </w:r>
          </w:p>
        </w:tc>
      </w:tr>
      <w:tr w:rsidR="00D55154" w14:paraId="4F2B1FBA" w14:textId="77777777">
        <w:trPr>
          <w:jc w:val="center"/>
        </w:trPr>
        <w:tc>
          <w:tcPr>
            <w:tcW w:w="4608" w:type="dxa"/>
            <w:tcMar>
              <w:top w:w="80" w:type="dxa"/>
              <w:left w:w="90" w:type="dxa"/>
              <w:bottom w:w="80" w:type="dxa"/>
              <w:right w:w="90" w:type="dxa"/>
            </w:tcMar>
            <w:vAlign w:val="center"/>
          </w:tcPr>
          <w:p w14:paraId="1CBD6422" w14:textId="77777777" w:rsidR="00D55154" w:rsidRDefault="00000000">
            <w:pPr>
              <w:pStyle w:val="ExhibitTableBody"/>
            </w:pPr>
            <w:r>
              <w:rPr>
                <w:sz w:val="16"/>
              </w:rPr>
              <w:t>Critical suppliers with dual-source qualification</w:t>
            </w:r>
          </w:p>
        </w:tc>
        <w:tc>
          <w:tcPr>
            <w:tcW w:w="2232" w:type="dxa"/>
            <w:tcMar>
              <w:top w:w="80" w:type="dxa"/>
              <w:left w:w="90" w:type="dxa"/>
              <w:bottom w:w="80" w:type="dxa"/>
              <w:right w:w="90" w:type="dxa"/>
            </w:tcMar>
            <w:vAlign w:val="center"/>
          </w:tcPr>
          <w:p w14:paraId="28B730B0" w14:textId="77777777" w:rsidR="00D55154" w:rsidRDefault="00000000">
            <w:pPr>
              <w:pStyle w:val="ExhibitTableBody"/>
            </w:pPr>
            <w:r>
              <w:rPr>
                <w:sz w:val="16"/>
              </w:rPr>
              <w:t>38%</w:t>
            </w:r>
          </w:p>
        </w:tc>
        <w:tc>
          <w:tcPr>
            <w:tcW w:w="2520" w:type="dxa"/>
            <w:tcMar>
              <w:top w:w="80" w:type="dxa"/>
              <w:left w:w="90" w:type="dxa"/>
              <w:bottom w:w="80" w:type="dxa"/>
              <w:right w:w="90" w:type="dxa"/>
            </w:tcMar>
            <w:vAlign w:val="center"/>
          </w:tcPr>
          <w:p w14:paraId="16D39C98" w14:textId="77777777" w:rsidR="00D55154" w:rsidRDefault="00000000">
            <w:pPr>
              <w:pStyle w:val="ExhibitTableBody"/>
            </w:pPr>
            <w:r>
              <w:rPr>
                <w:sz w:val="16"/>
              </w:rPr>
              <w:t>50%</w:t>
            </w:r>
          </w:p>
        </w:tc>
      </w:tr>
      <w:tr w:rsidR="00D55154" w14:paraId="15F246B4" w14:textId="77777777">
        <w:trPr>
          <w:jc w:val="center"/>
        </w:trPr>
        <w:tc>
          <w:tcPr>
            <w:tcW w:w="4608" w:type="dxa"/>
            <w:shd w:val="clear" w:color="auto" w:fill="EAF0F4"/>
            <w:tcMar>
              <w:top w:w="80" w:type="dxa"/>
              <w:left w:w="90" w:type="dxa"/>
              <w:bottom w:w="80" w:type="dxa"/>
              <w:right w:w="90" w:type="dxa"/>
            </w:tcMar>
            <w:vAlign w:val="center"/>
          </w:tcPr>
          <w:p w14:paraId="446CF85D" w14:textId="77777777" w:rsidR="00D55154" w:rsidRDefault="00000000">
            <w:pPr>
              <w:pStyle w:val="ExhibitTableBody"/>
            </w:pPr>
            <w:r>
              <w:rPr>
                <w:sz w:val="16"/>
              </w:rPr>
              <w:t>Suppliers reporting cash strain in last review</w:t>
            </w:r>
          </w:p>
        </w:tc>
        <w:tc>
          <w:tcPr>
            <w:tcW w:w="2232" w:type="dxa"/>
            <w:shd w:val="clear" w:color="auto" w:fill="EAF0F4"/>
            <w:tcMar>
              <w:top w:w="80" w:type="dxa"/>
              <w:left w:w="90" w:type="dxa"/>
              <w:bottom w:w="80" w:type="dxa"/>
              <w:right w:w="90" w:type="dxa"/>
            </w:tcMar>
            <w:vAlign w:val="center"/>
          </w:tcPr>
          <w:p w14:paraId="2380E0CD" w14:textId="77777777" w:rsidR="00D55154" w:rsidRDefault="00000000">
            <w:pPr>
              <w:pStyle w:val="ExhibitTableBody"/>
            </w:pPr>
            <w:r>
              <w:rPr>
                <w:sz w:val="16"/>
              </w:rPr>
              <w:t>29%</w:t>
            </w:r>
          </w:p>
        </w:tc>
        <w:tc>
          <w:tcPr>
            <w:tcW w:w="2520" w:type="dxa"/>
            <w:shd w:val="clear" w:color="auto" w:fill="EAF0F4"/>
            <w:tcMar>
              <w:top w:w="80" w:type="dxa"/>
              <w:left w:w="90" w:type="dxa"/>
              <w:bottom w:w="80" w:type="dxa"/>
              <w:right w:w="90" w:type="dxa"/>
            </w:tcMar>
            <w:vAlign w:val="center"/>
          </w:tcPr>
          <w:p w14:paraId="223CEA39" w14:textId="77777777" w:rsidR="00D55154" w:rsidRDefault="00000000">
            <w:pPr>
              <w:pStyle w:val="ExhibitTableBody"/>
            </w:pPr>
            <w:r>
              <w:rPr>
                <w:sz w:val="16"/>
              </w:rPr>
              <w:t>Not established</w:t>
            </w:r>
          </w:p>
        </w:tc>
      </w:tr>
    </w:tbl>
    <w:p w14:paraId="0A8F3180" w14:textId="77777777" w:rsidR="00D55154" w:rsidRDefault="00D55154">
      <w:pPr>
        <w:pStyle w:val="CaseSpacer"/>
      </w:pPr>
    </w:p>
    <w:p w14:paraId="326AA144" w14:textId="77777777" w:rsidR="00D55154" w:rsidRDefault="00000000">
      <w:pPr>
        <w:pStyle w:val="Heading1"/>
      </w:pPr>
      <w:r>
        <w:t>A Decision Before the Board Meeting</w:t>
      </w:r>
    </w:p>
    <w:p w14:paraId="3FB97629" w14:textId="77777777" w:rsidR="00D55154" w:rsidRDefault="00000000">
      <w:pPr>
        <w:spacing w:after="40"/>
      </w:pPr>
      <w:r>
        <w:t>The board’s finance committee would meet in nine days. Chen needed to recommend whether Northbridge should launch the supplier-finance program, how broadly it should apply, whether payment terms should change, and what complementary actions were required. The bank wanted a signed term sheet by month-end to reserve implementation capacity. AlloyWorks wanted an answer within two weeks.</w:t>
      </w:r>
    </w:p>
    <w:p w14:paraId="48F6CF2C" w14:textId="77777777" w:rsidR="00D55154" w:rsidRDefault="00000000">
      <w:pPr>
        <w:spacing w:after="40"/>
      </w:pPr>
      <w:r>
        <w:t>Chen’s team produced a downside scenario in which customer demand declined 12%, one major customer paid 45 days late, and tariff costs rose by another $38 million. Under that scenario, Northbridge’s available liquidity could fall below the internal minimum unless it delayed the plant expansion, drew on its revolver, or extended supplier terms. A different scenario assumed strong demand but the failure of two critical suppliers, causing production delays and premium freight. In that case, preserving Northbridge’s cash would offer little comfort if the company could not ship finished products.</w:t>
      </w:r>
    </w:p>
    <w:p w14:paraId="3F76A161" w14:textId="77777777" w:rsidR="00D55154" w:rsidRDefault="00000000">
      <w:pPr>
        <w:spacing w:after="40"/>
      </w:pPr>
      <w:r>
        <w:t>No option separated financial performance from operational consequences. Paying suppliers faster could strengthen the network but weaken Northbridge’s own cash position. Extending terms could improve reported working capital but transfer risk to firms with less access to credit. Insurance and hedging could reduce selected exposures while introducing premiums, deductibles, basis risk, and contractual complexity. Holding more cash would improve resilience but compete with dividends, debt reduction, automation, and plant investment.</w:t>
      </w:r>
    </w:p>
    <w:p w14:paraId="4519CA46" w14:textId="77777777" w:rsidR="00D55154" w:rsidRDefault="00000000">
      <w:pPr>
        <w:spacing w:after="40"/>
      </w:pPr>
      <w:r>
        <w:t>At 6:30 that evening, Chen reviewed the draft board slides. One page showed the projected cash benefit of a 90-day program. Another showed the revenue dependent on vulnerable suppliers. A third listed insurance gaps and currency exposures. Each page was persuasive on its own; together they did not produce an obvious answer. She deleted the recommendation slide and began again.</w:t>
      </w:r>
    </w:p>
    <w:p w14:paraId="197D24E5" w14:textId="77777777" w:rsidR="00286ACB" w:rsidRDefault="00286ACB" w:rsidP="00286ACB">
      <w:pPr>
        <w:pStyle w:val="Heading1"/>
      </w:pPr>
      <w:r>
        <w:t>Framing questions</w:t>
      </w:r>
    </w:p>
    <w:p w14:paraId="70FD15AB" w14:textId="77777777" w:rsidR="00286ACB" w:rsidRDefault="00286ACB" w:rsidP="00286ACB">
      <w:pPr>
        <w:pStyle w:val="ListParagraph"/>
        <w:numPr>
          <w:ilvl w:val="0"/>
          <w:numId w:val="10"/>
        </w:numPr>
      </w:pPr>
      <w:r>
        <w:t xml:space="preserve">Identify the different metrics that can be used to evaluate every aspect of the performance of the system?  Organize these into a pyramid to indicate </w:t>
      </w:r>
      <w:proofErr w:type="gramStart"/>
      <w:r>
        <w:t>the relative</w:t>
      </w:r>
      <w:proofErr w:type="gramEnd"/>
      <w:r>
        <w:t xml:space="preserve"> importance, following the style given here.</w:t>
      </w:r>
    </w:p>
    <w:p w14:paraId="38352EF7" w14:textId="77777777" w:rsidR="00286ACB" w:rsidRDefault="00286ACB" w:rsidP="00286ACB">
      <w:pPr>
        <w:pStyle w:val="ListParagraph"/>
        <w:numPr>
          <w:ilvl w:val="0"/>
          <w:numId w:val="10"/>
        </w:numPr>
      </w:pPr>
      <w:r>
        <w:t xml:space="preserve">What are the types of decisions? Use the </w:t>
      </w:r>
      <w:hyperlink r:id="rId8" w:anchor="types-of-decision-settings" w:history="1">
        <w:r w:rsidRPr="00B20FB6">
          <w:rPr>
            <w:rStyle w:val="Hyperlink"/>
          </w:rPr>
          <w:t>list of decision types here as a guide</w:t>
        </w:r>
      </w:hyperlink>
      <w:r>
        <w:t xml:space="preserve">, illustrated by the </w:t>
      </w:r>
      <w:hyperlink r:id="rId9" w:anchor="from-apps-to-types" w:history="1">
        <w:r w:rsidRPr="00B20FB6">
          <w:rPr>
            <w:rStyle w:val="Hyperlink"/>
          </w:rPr>
          <w:t>applications here</w:t>
        </w:r>
      </w:hyperlink>
      <w:r>
        <w:t xml:space="preserve">.  </w:t>
      </w:r>
    </w:p>
    <w:p w14:paraId="6B579EA8" w14:textId="77777777" w:rsidR="00286ACB" w:rsidRDefault="00286ACB" w:rsidP="00286ACB">
      <w:pPr>
        <w:pStyle w:val="ListParagraph"/>
        <w:numPr>
          <w:ilvl w:val="0"/>
          <w:numId w:val="10"/>
        </w:numPr>
      </w:pPr>
      <w:r>
        <w:t xml:space="preserve">Use the </w:t>
      </w:r>
      <w:hyperlink r:id="rId10" w:history="1">
        <w:r w:rsidRPr="00B20FB6">
          <w:rPr>
            <w:rStyle w:val="Hyperlink"/>
          </w:rPr>
          <w:t>interactive framing matrix here</w:t>
        </w:r>
      </w:hyperlink>
      <w:r>
        <w:t xml:space="preserve"> to fill out the performance metrics along the top (from most to least important) followed by the list of decisions (in any order).  Use your judgment to assess whether the impact of each decision on each metric is H (high impact), M (medium), L (low) or N (none).  Finally, use the resulting matrix to rank the decisions in terms of their impact on the most important metrics.</w:t>
      </w:r>
    </w:p>
    <w:p w14:paraId="1B6E8693" w14:textId="77777777" w:rsidR="00286ACB" w:rsidRDefault="00286ACB" w:rsidP="00286ACB">
      <w:pPr>
        <w:pStyle w:val="ListParagraph"/>
        <w:numPr>
          <w:ilvl w:val="0"/>
          <w:numId w:val="10"/>
        </w:numPr>
      </w:pPr>
      <w:r>
        <w:t xml:space="preserve">What are the different sources of uncertainty?  Use the </w:t>
      </w:r>
      <w:hyperlink r:id="rId11" w:anchor="categories" w:history="1">
        <w:r w:rsidRPr="00B20FB6">
          <w:rPr>
            <w:rStyle w:val="Hyperlink"/>
          </w:rPr>
          <w:t>12 categories of uncertainty here as a guide</w:t>
        </w:r>
      </w:hyperlink>
      <w:r>
        <w:t>.</w:t>
      </w:r>
    </w:p>
    <w:p w14:paraId="7A2D6C79" w14:textId="77777777" w:rsidR="00286ACB" w:rsidRDefault="00286ACB" w:rsidP="00286ACB">
      <w:pPr>
        <w:pStyle w:val="ListParagraph"/>
        <w:numPr>
          <w:ilvl w:val="0"/>
          <w:numId w:val="10"/>
        </w:numPr>
      </w:pPr>
      <w:r>
        <w:t>Repeat the exercise in (3), but this time using uncertainties instead of decisions.</w:t>
      </w:r>
    </w:p>
    <w:p w14:paraId="3BA74B34" w14:textId="77777777" w:rsidR="00286ACB" w:rsidRDefault="00286ACB" w:rsidP="00286ACB">
      <w:pPr>
        <w:pStyle w:val="ListParagraph"/>
        <w:numPr>
          <w:ilvl w:val="1"/>
          <w:numId w:val="10"/>
        </w:numPr>
      </w:pPr>
      <w:r>
        <w:t>Which sources of uncertainty would be captured using average performance over time?</w:t>
      </w:r>
    </w:p>
    <w:p w14:paraId="1BFCDD70" w14:textId="77777777" w:rsidR="00286ACB" w:rsidRDefault="00286ACB" w:rsidP="00286ACB">
      <w:pPr>
        <w:pStyle w:val="ListParagraph"/>
        <w:numPr>
          <w:ilvl w:val="1"/>
          <w:numId w:val="10"/>
        </w:numPr>
      </w:pPr>
      <w:r>
        <w:lastRenderedPageBreak/>
        <w:t>Which sources of uncertainty represent forms of risk that are not properly captured using averages?</w:t>
      </w:r>
    </w:p>
    <w:p w14:paraId="4EC7D978" w14:textId="77777777" w:rsidR="00286ACB" w:rsidRDefault="00286ACB" w:rsidP="00286ACB">
      <w:pPr>
        <w:pStyle w:val="ListParagraph"/>
        <w:numPr>
          <w:ilvl w:val="0"/>
          <w:numId w:val="10"/>
        </w:numPr>
      </w:pPr>
      <w:r>
        <w:t xml:space="preserve">Choose the single decision that seems to have the highest impact on the most important metric.  </w:t>
      </w:r>
    </w:p>
    <w:p w14:paraId="63EEAAE1" w14:textId="77777777" w:rsidR="00286ACB" w:rsidRDefault="00286ACB" w:rsidP="00286ACB">
      <w:pPr>
        <w:pStyle w:val="ListParagraph"/>
        <w:numPr>
          <w:ilvl w:val="1"/>
          <w:numId w:val="10"/>
        </w:numPr>
      </w:pPr>
      <w:r>
        <w:t>What approach do you think you would use to make this decision?</w:t>
      </w:r>
    </w:p>
    <w:p w14:paraId="561E7538" w14:textId="77777777" w:rsidR="00286ACB" w:rsidRDefault="00286ACB" w:rsidP="00286ACB">
      <w:pPr>
        <w:pStyle w:val="ListParagraph"/>
        <w:numPr>
          <w:ilvl w:val="1"/>
          <w:numId w:val="10"/>
        </w:numPr>
      </w:pPr>
      <w:r>
        <w:t>What data appears to be necessary to make this decision, including the calculation of any performance metrics where the decision would have a high or medium impact.</w:t>
      </w:r>
    </w:p>
    <w:p w14:paraId="6983CC5E" w14:textId="77777777" w:rsidR="00286ACB" w:rsidRDefault="00286ACB" w:rsidP="00286ACB">
      <w:pPr>
        <w:pStyle w:val="ListParagraph"/>
        <w:numPr>
          <w:ilvl w:val="0"/>
          <w:numId w:val="10"/>
        </w:numPr>
      </w:pPr>
      <w:r>
        <w:t xml:space="preserve">Using the same </w:t>
      </w:r>
      <w:proofErr w:type="gramStart"/>
      <w:r>
        <w:t>decision</w:t>
      </w:r>
      <w:proofErr w:type="gramEnd"/>
      <w:r>
        <w:t xml:space="preserve"> you identified in (6), identify the people, departments, groups or organizations that you would need to work with to implement the decision?</w:t>
      </w:r>
    </w:p>
    <w:p w14:paraId="0971B693" w14:textId="77777777" w:rsidR="00D55154" w:rsidRDefault="00000000">
      <w:pPr>
        <w:pStyle w:val="Heading1"/>
      </w:pPr>
      <w:r>
        <w:t>Discussion Questions</w:t>
      </w:r>
    </w:p>
    <w:p w14:paraId="6A75E264" w14:textId="5E26081A" w:rsidR="00D55154" w:rsidRPr="0009119C" w:rsidRDefault="00000000" w:rsidP="0009119C">
      <w:pPr>
        <w:pStyle w:val="DiscussionQuestion"/>
        <w:numPr>
          <w:ilvl w:val="0"/>
          <w:numId w:val="12"/>
        </w:numPr>
        <w:spacing w:after="40"/>
        <w:rPr>
          <w:sz w:val="22"/>
        </w:rPr>
      </w:pPr>
      <w:r w:rsidRPr="0009119C">
        <w:rPr>
          <w:sz w:val="22"/>
        </w:rPr>
        <w:t>What is the central business problem facing Northbridge, and why is it broader than choosing whether to adopt a supplier-finance platform?</w:t>
      </w:r>
    </w:p>
    <w:p w14:paraId="477B10FC" w14:textId="25B6F648" w:rsidR="00D55154" w:rsidRPr="0009119C" w:rsidRDefault="00000000" w:rsidP="0009119C">
      <w:pPr>
        <w:pStyle w:val="DiscussionQuestion"/>
        <w:numPr>
          <w:ilvl w:val="0"/>
          <w:numId w:val="12"/>
        </w:numPr>
        <w:spacing w:after="40"/>
        <w:rPr>
          <w:sz w:val="22"/>
        </w:rPr>
      </w:pPr>
      <w:r w:rsidRPr="0009119C">
        <w:rPr>
          <w:sz w:val="22"/>
        </w:rPr>
        <w:t>Which suppliers should receive priority, and what information should determine eligibility or company support?</w:t>
      </w:r>
    </w:p>
    <w:p w14:paraId="57477AA6" w14:textId="7712E4C5" w:rsidR="00D55154" w:rsidRPr="0009119C" w:rsidRDefault="00000000" w:rsidP="0009119C">
      <w:pPr>
        <w:pStyle w:val="DiscussionQuestion"/>
        <w:numPr>
          <w:ilvl w:val="0"/>
          <w:numId w:val="12"/>
        </w:numPr>
        <w:spacing w:after="40"/>
        <w:rPr>
          <w:sz w:val="22"/>
        </w:rPr>
      </w:pPr>
      <w:r w:rsidRPr="0009119C">
        <w:rPr>
          <w:sz w:val="22"/>
        </w:rPr>
        <w:t>How should Northbridge compare the value of retaining cash with the risk of weakening financially vulnerable suppliers?</w:t>
      </w:r>
    </w:p>
    <w:p w14:paraId="6C3909BE" w14:textId="2ADF57BF" w:rsidR="00D55154" w:rsidRPr="0009119C" w:rsidRDefault="00000000" w:rsidP="0009119C">
      <w:pPr>
        <w:pStyle w:val="DiscussionQuestion"/>
        <w:numPr>
          <w:ilvl w:val="0"/>
          <w:numId w:val="12"/>
        </w:numPr>
        <w:spacing w:after="40"/>
        <w:rPr>
          <w:sz w:val="22"/>
        </w:rPr>
      </w:pPr>
      <w:r w:rsidRPr="0009119C">
        <w:rPr>
          <w:sz w:val="22"/>
        </w:rPr>
        <w:t>Should payment terms be extended for suppliers that can obtain early payment through the bank? Why or why not?</w:t>
      </w:r>
    </w:p>
    <w:p w14:paraId="6337BD40" w14:textId="55360FBB" w:rsidR="00D55154" w:rsidRPr="0009119C" w:rsidRDefault="00000000" w:rsidP="0009119C">
      <w:pPr>
        <w:pStyle w:val="DiscussionQuestion"/>
        <w:numPr>
          <w:ilvl w:val="0"/>
          <w:numId w:val="12"/>
        </w:numPr>
        <w:spacing w:after="40"/>
        <w:rPr>
          <w:sz w:val="22"/>
        </w:rPr>
      </w:pPr>
      <w:r w:rsidRPr="0009119C">
        <w:rPr>
          <w:sz w:val="22"/>
        </w:rPr>
        <w:t>How should invoice-approval speed affect the design and timing of the program?</w:t>
      </w:r>
    </w:p>
    <w:p w14:paraId="6C642A92" w14:textId="16064E81" w:rsidR="00D55154" w:rsidRPr="0009119C" w:rsidRDefault="00000000" w:rsidP="0009119C">
      <w:pPr>
        <w:pStyle w:val="DiscussionQuestion"/>
        <w:numPr>
          <w:ilvl w:val="0"/>
          <w:numId w:val="12"/>
        </w:numPr>
        <w:spacing w:after="40"/>
        <w:rPr>
          <w:sz w:val="22"/>
        </w:rPr>
      </w:pPr>
      <w:r w:rsidRPr="0009119C">
        <w:rPr>
          <w:sz w:val="22"/>
        </w:rPr>
        <w:t>Which financial risks should Northbridge insure or hedge, and which should it retain?</w:t>
      </w:r>
    </w:p>
    <w:p w14:paraId="59C21993" w14:textId="0AFE6EFA" w:rsidR="00D55154" w:rsidRPr="0009119C" w:rsidRDefault="00000000" w:rsidP="0009119C">
      <w:pPr>
        <w:pStyle w:val="DiscussionQuestion"/>
        <w:numPr>
          <w:ilvl w:val="0"/>
          <w:numId w:val="12"/>
        </w:numPr>
        <w:spacing w:after="40"/>
        <w:rPr>
          <w:sz w:val="22"/>
        </w:rPr>
      </w:pPr>
      <w:r w:rsidRPr="0009119C">
        <w:rPr>
          <w:sz w:val="22"/>
        </w:rPr>
        <w:t>How should the company address suppliers that are operationally critical but fail the bank’s financial or compliance screens?</w:t>
      </w:r>
    </w:p>
    <w:p w14:paraId="065C0408" w14:textId="5DF42491" w:rsidR="00D55154" w:rsidRPr="0009119C" w:rsidRDefault="00000000" w:rsidP="0009119C">
      <w:pPr>
        <w:pStyle w:val="DiscussionQuestion"/>
        <w:numPr>
          <w:ilvl w:val="0"/>
          <w:numId w:val="12"/>
        </w:numPr>
        <w:spacing w:after="40"/>
        <w:rPr>
          <w:sz w:val="22"/>
        </w:rPr>
      </w:pPr>
      <w:r w:rsidRPr="0009119C">
        <w:rPr>
          <w:sz w:val="22"/>
        </w:rPr>
        <w:t>What could go wrong if Northbridge relies heavily on one bank or one digital platform?</w:t>
      </w:r>
    </w:p>
    <w:p w14:paraId="13136267" w14:textId="7A2BADE8" w:rsidR="00D55154" w:rsidRPr="0009119C" w:rsidRDefault="00000000" w:rsidP="0009119C">
      <w:pPr>
        <w:pStyle w:val="DiscussionQuestion"/>
        <w:numPr>
          <w:ilvl w:val="0"/>
          <w:numId w:val="12"/>
        </w:numPr>
        <w:spacing w:after="40"/>
        <w:rPr>
          <w:sz w:val="22"/>
        </w:rPr>
      </w:pPr>
      <w:r w:rsidRPr="0009119C">
        <w:rPr>
          <w:sz w:val="22"/>
        </w:rPr>
        <w:t>What additional data or pilot would be most valuable before making a broader commitment?</w:t>
      </w:r>
    </w:p>
    <w:p w14:paraId="69B2C56F" w14:textId="78BB984F" w:rsidR="00D55154" w:rsidRPr="0009119C" w:rsidRDefault="00000000" w:rsidP="0009119C">
      <w:pPr>
        <w:pStyle w:val="DiscussionQuestion"/>
        <w:numPr>
          <w:ilvl w:val="0"/>
          <w:numId w:val="12"/>
        </w:numPr>
        <w:spacing w:after="40"/>
        <w:rPr>
          <w:sz w:val="22"/>
        </w:rPr>
      </w:pPr>
      <w:r w:rsidRPr="0009119C">
        <w:rPr>
          <w:sz w:val="22"/>
        </w:rPr>
        <w:t>What actions should Chen recommend immediately, and which decisions should remain conditional on future events?</w:t>
      </w:r>
    </w:p>
    <w:p w14:paraId="0A4D2020" w14:textId="77777777" w:rsidR="00D55154" w:rsidRDefault="00000000">
      <w:pPr>
        <w:pStyle w:val="Heading1"/>
      </w:pPr>
      <w:r>
        <w:t>Source Notes</w:t>
      </w:r>
    </w:p>
    <w:p w14:paraId="4BD61536" w14:textId="77777777" w:rsidR="00D55154" w:rsidRDefault="00000000">
      <w:pPr>
        <w:pStyle w:val="SourceNoteText"/>
        <w:spacing w:after="20"/>
      </w:pPr>
      <w:r>
        <w:t>Warren B. Powell, “Supply Chain Finance,” Chapter 2, Bridging Decision Problems, Volume I: Framing the Problem. The section describes invoice approval, early payment, maturity payment, financing and insurance choices, cash management, capital allocation, and uncertainty involving defaults, currencies, tariffs, sales, interest rates, and credit markets.</w:t>
      </w:r>
    </w:p>
    <w:p w14:paraId="6EF88B30" w14:textId="77777777" w:rsidR="00D55154" w:rsidRDefault="00000000">
      <w:pPr>
        <w:pStyle w:val="SourceNoteText"/>
        <w:spacing w:after="20"/>
      </w:pPr>
      <w:r>
        <w:t>Federal Reserve Banks, 2026 Report on Employer Firms: Findings from the 2025 Small Business Credit Survey, March 3, 2026. The survey reported that 60% of firms applied for financing, 42% received the full amount sought, and tariff-related cost challenges were especially common among manufacturers.</w:t>
      </w:r>
    </w:p>
    <w:p w14:paraId="500090B8" w14:textId="77777777" w:rsidR="00D55154" w:rsidRDefault="00000000">
      <w:pPr>
        <w:pStyle w:val="SourceNoteText"/>
        <w:spacing w:after="20"/>
      </w:pPr>
      <w:r>
        <w:t>Secured Finance Network, “The Growing Impact of Supply Chain Finance: Insights from SFNet’s 2025 Market Sizing Study.” The study estimated that approximately 12% of U.S. trade receivables were financed through supply-chain-finance arrangements in 2024, representing an annual market of approximately $2.56 trillion.</w:t>
      </w:r>
    </w:p>
    <w:p w14:paraId="40BCCC6B" w14:textId="77777777" w:rsidR="00D55154" w:rsidRDefault="00000000">
      <w:pPr>
        <w:pStyle w:val="SourceNoteText"/>
        <w:spacing w:after="20"/>
      </w:pPr>
      <w:r>
        <w:t>International Finance Corporation, “Scaling Up Supply Chain Finance Could Unlock Billions for SMEs,” September 2025. IFC estimated that the global trade-finance gap had reached $2.5 trillion and emphasized the working-capital constraints faced by smaller suppliers.</w:t>
      </w:r>
    </w:p>
    <w:p w14:paraId="6CC33E6F" w14:textId="3A68D624" w:rsidR="00905004" w:rsidRDefault="00905004" w:rsidP="00905004">
      <w:pPr>
        <w:pStyle w:val="Heading1"/>
      </w:pPr>
      <w:r>
        <w:t>ChatGPT notes</w:t>
      </w:r>
    </w:p>
    <w:p w14:paraId="13C5645D" w14:textId="1508B7FC" w:rsidR="00905004" w:rsidRDefault="00905004" w:rsidP="00905004">
      <w:pPr>
        <w:pStyle w:val="Heading2"/>
      </w:pPr>
      <w:r>
        <w:t>Prompt</w:t>
      </w:r>
    </w:p>
    <w:p w14:paraId="78C881C7" w14:textId="07AB0298" w:rsidR="00905004" w:rsidRDefault="00905004" w:rsidP="00905004">
      <w:r w:rsidRPr="00905004">
        <w:t xml:space="preserve">Write a </w:t>
      </w:r>
      <w:proofErr w:type="gramStart"/>
      <w:r w:rsidRPr="00905004">
        <w:t>4-6 page</w:t>
      </w:r>
      <w:proofErr w:type="gramEnd"/>
      <w:r w:rsidRPr="00905004">
        <w:t xml:space="preserve"> case study based on the material in the section at https://warrenpowell.org/bridging-vol1/chapter-2/#supplychainfinance. Create a context based on the metrics, decisions and uncertainties in the section, but without explicitly calling attention to them. motivate your case problem with data.</w:t>
      </w:r>
    </w:p>
    <w:p w14:paraId="097B7CE9" w14:textId="1BB11EFA" w:rsidR="00905004" w:rsidRDefault="00905004" w:rsidP="00905004">
      <w:pPr>
        <w:pStyle w:val="Heading2"/>
      </w:pPr>
      <w:r>
        <w:t>Summary</w:t>
      </w:r>
    </w:p>
    <w:p w14:paraId="555BDBE5" w14:textId="25BA1C0F" w:rsidR="00905004" w:rsidRPr="00905004" w:rsidRDefault="00905004" w:rsidP="00905004">
      <w:r w:rsidRPr="00905004">
        <w:t xml:space="preserve">The case follows a fictional manufacturer whose suppliers are requesting faster payment while the company is trying to preserve cash, absorb tariff-related costs, finance additional inventory, and maintain its credit position. It considers supplier financing, early-payment discounts, payment terms, invoice approval, </w:t>
      </w:r>
      <w:r w:rsidRPr="00905004">
        <w:lastRenderedPageBreak/>
        <w:t>insurance, currency hedging, cash reserves, and support for financially vulnerable suppliers without identifying a preferred solution.</w:t>
      </w:r>
    </w:p>
    <w:sectPr w:rsidR="00905004" w:rsidRPr="00905004" w:rsidSect="00034616">
      <w:headerReference w:type="default" r:id="rId12"/>
      <w:footerReference w:type="default" r:id="rId13"/>
      <w:pgSz w:w="12240" w:h="15840"/>
      <w:pgMar w:top="792" w:right="979" w:bottom="792" w:left="979"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52BD0" w14:textId="77777777" w:rsidR="00850D1A" w:rsidRDefault="00850D1A">
      <w:pPr>
        <w:spacing w:after="0" w:line="240" w:lineRule="auto"/>
      </w:pPr>
      <w:r>
        <w:separator/>
      </w:r>
    </w:p>
  </w:endnote>
  <w:endnote w:type="continuationSeparator" w:id="0">
    <w:p w14:paraId="7A926409" w14:textId="77777777" w:rsidR="00850D1A" w:rsidRDefault="00850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E947A" w14:textId="77777777" w:rsidR="00D55154" w:rsidRDefault="00000000">
    <w:pPr>
      <w:pStyle w:val="CaseFooter"/>
      <w:spacing w:after="0"/>
      <w:jc w:val="center"/>
    </w:pPr>
    <w:r>
      <w:fldChar w:fldCharType="begin"/>
    </w:r>
    <w:r>
      <w:instrText>PAGE</w:instrText>
    </w:r>
    <w:r>
      <w:fldChar w:fldCharType="separate"/>
    </w:r>
    <w:r w:rsidR="0090500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A3EF9" w14:textId="77777777" w:rsidR="00850D1A" w:rsidRDefault="00850D1A">
      <w:pPr>
        <w:spacing w:after="0" w:line="240" w:lineRule="auto"/>
      </w:pPr>
      <w:r>
        <w:separator/>
      </w:r>
    </w:p>
  </w:footnote>
  <w:footnote w:type="continuationSeparator" w:id="0">
    <w:p w14:paraId="75D37E6F" w14:textId="77777777" w:rsidR="00850D1A" w:rsidRDefault="00850D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411D0" w14:textId="77777777" w:rsidR="00D55154" w:rsidRDefault="00000000">
    <w:pPr>
      <w:pStyle w:val="CaseHeader"/>
      <w:spacing w:after="0"/>
      <w:jc w:val="right"/>
    </w:pPr>
    <w:r>
      <w:t>NORTHBRIDGE INDUSTRIAL SYSTEMS — SUPPLY CHAIN FINANCE CASE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AAB58BA"/>
    <w:multiLevelType w:val="hybridMultilevel"/>
    <w:tmpl w:val="17F2E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B76F84"/>
    <w:multiLevelType w:val="hybridMultilevel"/>
    <w:tmpl w:val="010CA1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EA15F3"/>
    <w:multiLevelType w:val="hybridMultilevel"/>
    <w:tmpl w:val="8A0A0B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6992411">
    <w:abstractNumId w:val="8"/>
  </w:num>
  <w:num w:numId="2" w16cid:durableId="1270160162">
    <w:abstractNumId w:val="6"/>
  </w:num>
  <w:num w:numId="3" w16cid:durableId="434206050">
    <w:abstractNumId w:val="5"/>
  </w:num>
  <w:num w:numId="4" w16cid:durableId="148635686">
    <w:abstractNumId w:val="4"/>
  </w:num>
  <w:num w:numId="5" w16cid:durableId="1949698238">
    <w:abstractNumId w:val="7"/>
  </w:num>
  <w:num w:numId="6" w16cid:durableId="1599560801">
    <w:abstractNumId w:val="3"/>
  </w:num>
  <w:num w:numId="7" w16cid:durableId="308480599">
    <w:abstractNumId w:val="2"/>
  </w:num>
  <w:num w:numId="8" w16cid:durableId="1724326003">
    <w:abstractNumId w:val="1"/>
  </w:num>
  <w:num w:numId="9" w16cid:durableId="1864443103">
    <w:abstractNumId w:val="0"/>
  </w:num>
  <w:num w:numId="10" w16cid:durableId="1268582022">
    <w:abstractNumId w:val="10"/>
  </w:num>
  <w:num w:numId="11" w16cid:durableId="1843809850">
    <w:abstractNumId w:val="11"/>
  </w:num>
  <w:num w:numId="12" w16cid:durableId="20676092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119C"/>
    <w:rsid w:val="0015074B"/>
    <w:rsid w:val="00286ACB"/>
    <w:rsid w:val="0029639D"/>
    <w:rsid w:val="00326F90"/>
    <w:rsid w:val="00331CA5"/>
    <w:rsid w:val="0044598F"/>
    <w:rsid w:val="00850D1A"/>
    <w:rsid w:val="008852B7"/>
    <w:rsid w:val="00905004"/>
    <w:rsid w:val="00AA1D8D"/>
    <w:rsid w:val="00B47730"/>
    <w:rsid w:val="00CB0664"/>
    <w:rsid w:val="00D5515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88A04D"/>
  <w14:defaultImageDpi w14:val="300"/>
  <w15:docId w15:val="{77E058F0-7536-495E-9E29-E8761B0C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C693F"/>
    <w:pPr>
      <w:spacing w:after="80" w:line="247" w:lineRule="auto"/>
    </w:pPr>
    <w:rPr>
      <w:rFonts w:ascii="Aptos" w:eastAsia="Aptos" w:hAnsi="Aptos"/>
    </w:rPr>
  </w:style>
  <w:style w:type="paragraph" w:styleId="Heading1">
    <w:name w:val="heading 1"/>
    <w:basedOn w:val="Normal"/>
    <w:next w:val="Normal"/>
    <w:link w:val="Heading1Char"/>
    <w:uiPriority w:val="9"/>
    <w:qFormat/>
    <w:rsid w:val="00FC693F"/>
    <w:pPr>
      <w:keepNext/>
      <w:keepLines/>
      <w:spacing w:before="140" w:after="60"/>
      <w:outlineLvl w:val="0"/>
    </w:pPr>
    <w:rPr>
      <w:rFonts w:asciiTheme="majorHAnsi" w:eastAsiaTheme="majorEastAsia" w:hAnsiTheme="majorHAnsi" w:cstheme="majorBidi"/>
      <w:b/>
      <w:bCs/>
      <w:color w:val="284B63"/>
      <w:sz w:val="30"/>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b/>
      <w:bCs/>
      <w:color w:val="3C6E7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seTitle">
    <w:name w:val="Case Title"/>
    <w:basedOn w:val="Normal"/>
    <w:rPr>
      <w:rFonts w:ascii="Aptos Display" w:eastAsia="Aptos Display" w:hAnsi="Aptos Display"/>
      <w:b/>
      <w:color w:val="284B63"/>
      <w:sz w:val="48"/>
    </w:rPr>
  </w:style>
  <w:style w:type="paragraph" w:customStyle="1" w:styleId="CaseSubtitle">
    <w:name w:val="Case Subtitle"/>
    <w:basedOn w:val="Normal"/>
    <w:rPr>
      <w:rFonts w:ascii="Aptos Display" w:eastAsia="Aptos Display" w:hAnsi="Aptos Display"/>
      <w:b/>
      <w:color w:val="3C6E71"/>
      <w:sz w:val="36"/>
    </w:rPr>
  </w:style>
  <w:style w:type="paragraph" w:customStyle="1" w:styleId="CaseDeck">
    <w:name w:val="Case Deck"/>
    <w:basedOn w:val="Normal"/>
    <w:rPr>
      <w:i/>
      <w:sz w:val="21"/>
    </w:rPr>
  </w:style>
  <w:style w:type="paragraph" w:customStyle="1" w:styleId="CaseDisclaimer">
    <w:name w:val="Case Disclaimer"/>
    <w:basedOn w:val="Normal"/>
    <w:rPr>
      <w:color w:val="646464"/>
      <w:sz w:val="16"/>
    </w:rPr>
  </w:style>
  <w:style w:type="paragraph" w:customStyle="1" w:styleId="DiscussionQuestion">
    <w:name w:val="Discussion Question"/>
    <w:basedOn w:val="Normal"/>
    <w:rPr>
      <w:sz w:val="18"/>
    </w:rPr>
  </w:style>
  <w:style w:type="paragraph" w:customStyle="1" w:styleId="SourceNoteText">
    <w:name w:val="Source Note Text"/>
    <w:basedOn w:val="Normal"/>
    <w:rPr>
      <w:sz w:val="18"/>
    </w:rPr>
  </w:style>
  <w:style w:type="paragraph" w:customStyle="1" w:styleId="CaseCallout">
    <w:name w:val="Case Callout"/>
    <w:basedOn w:val="Normal"/>
  </w:style>
  <w:style w:type="paragraph" w:customStyle="1" w:styleId="ExhibitTableHeader">
    <w:name w:val="Exhibit Table Header"/>
    <w:basedOn w:val="Normal"/>
    <w:rPr>
      <w:b/>
      <w:color w:val="FFFFFF"/>
      <w:sz w:val="15"/>
    </w:rPr>
  </w:style>
  <w:style w:type="paragraph" w:customStyle="1" w:styleId="ExhibitTableBody">
    <w:name w:val="Exhibit Table Body"/>
    <w:basedOn w:val="Normal"/>
    <w:rPr>
      <w:sz w:val="15"/>
    </w:rPr>
  </w:style>
  <w:style w:type="paragraph" w:customStyle="1" w:styleId="CaseHeader">
    <w:name w:val="Case Header"/>
    <w:basedOn w:val="Normal"/>
    <w:rPr>
      <w:sz w:val="16"/>
    </w:rPr>
  </w:style>
  <w:style w:type="paragraph" w:customStyle="1" w:styleId="CaseFooter">
    <w:name w:val="Case Footer"/>
    <w:basedOn w:val="Normal"/>
    <w:rPr>
      <w:sz w:val="16"/>
    </w:rPr>
  </w:style>
  <w:style w:type="paragraph" w:customStyle="1" w:styleId="CaseSpacer">
    <w:name w:val="Case Spacer"/>
    <w:basedOn w:val="Normal"/>
    <w:rPr>
      <w:sz w:val="18"/>
    </w:rPr>
  </w:style>
  <w:style w:type="character" w:styleId="Hyperlink">
    <w:name w:val="Hyperlink"/>
    <w:basedOn w:val="DefaultParagraphFont"/>
    <w:uiPriority w:val="99"/>
    <w:unhideWhenUsed/>
    <w:rsid w:val="00286A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rrenpowell.org/decisionsdecision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arrenpowell.org/modeling-uncertaint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inyurl.com/FramingMatrix/" TargetMode="External"/><Relationship Id="rId4" Type="http://schemas.openxmlformats.org/officeDocument/2006/relationships/settings" Target="settings.xml"/><Relationship Id="rId9" Type="http://schemas.openxmlformats.org/officeDocument/2006/relationships/hyperlink" Target="https://warrenpowell.org/decisionsdecision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2980</Words>
  <Characters>16989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19930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Cedar State Health Authority: The Last-Mile Naloxone Problem</dc:title>
  <dc:subject>Business case study on naloxone access and distribution</dc:subject>
  <dc:creator>OpenAI</dc:creator>
  <cp:keywords/>
  <dc:description>generated by python-docx</dc:description>
  <cp:lastModifiedBy>Warren Powell</cp:lastModifiedBy>
  <cp:revision>4</cp:revision>
  <dcterms:created xsi:type="dcterms:W3CDTF">2026-07-30T17:14:00Z</dcterms:created>
  <dcterms:modified xsi:type="dcterms:W3CDTF">2026-07-30T18:35:00Z</dcterms:modified>
  <cp:category/>
</cp:coreProperties>
</file>