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9BE2F" w14:textId="77777777" w:rsidR="00783E8A" w:rsidRDefault="00783E8A" w:rsidP="00AC764A"/>
    <w:p w14:paraId="5D91E598" w14:textId="45075C0B" w:rsidR="00783E8A" w:rsidRDefault="00783E8A" w:rsidP="00783E8A">
      <w:pPr>
        <w:pStyle w:val="CaseTitle"/>
        <w:spacing w:after="0"/>
      </w:pPr>
      <w:r>
        <w:t>Lakeside Medical Group</w:t>
      </w:r>
    </w:p>
    <w:p w14:paraId="4121CDDD" w14:textId="3224266D" w:rsidR="00783E8A" w:rsidRDefault="00783E8A" w:rsidP="00783E8A">
      <w:pPr>
        <w:pStyle w:val="CaseSubtitle"/>
      </w:pPr>
      <w:r>
        <w:t xml:space="preserve">The </w:t>
      </w:r>
      <w:r>
        <w:t>Next Ninety Days</w:t>
      </w:r>
    </w:p>
    <w:p w14:paraId="2E86CCE0" w14:textId="77777777" w:rsidR="00783E8A" w:rsidRPr="00783E8A" w:rsidRDefault="00783E8A" w:rsidP="00783E8A">
      <w:pPr>
        <w:rPr>
          <w:i/>
          <w:iCs/>
          <w:color w:val="808080" w:themeColor="background1" w:themeShade="80"/>
        </w:rPr>
      </w:pPr>
      <w:r w:rsidRPr="00783E8A">
        <w:rPr>
          <w:i/>
          <w:iCs/>
          <w:color w:val="808080" w:themeColor="background1" w:themeShade="80"/>
        </w:rPr>
        <w:t xml:space="preserve">A business case on managing Type 2 diabetes </w:t>
      </w:r>
      <w:proofErr w:type="gramStart"/>
      <w:r w:rsidRPr="00783E8A">
        <w:rPr>
          <w:i/>
          <w:iCs/>
          <w:color w:val="808080" w:themeColor="background1" w:themeShade="80"/>
        </w:rPr>
        <w:t>when</w:t>
      </w:r>
      <w:proofErr w:type="gramEnd"/>
      <w:r w:rsidRPr="00783E8A">
        <w:rPr>
          <w:i/>
          <w:iCs/>
          <w:color w:val="808080" w:themeColor="background1" w:themeShade="80"/>
        </w:rPr>
        <w:t xml:space="preserve"> clinical response, daily behavior, technology, and affordability are difficult to separate</w:t>
      </w:r>
    </w:p>
    <w:p w14:paraId="564163C6" w14:textId="77777777" w:rsidR="00783E8A" w:rsidRDefault="00783E8A" w:rsidP="00783E8A">
      <w:pPr>
        <w:pStyle w:val="CaseSpacer"/>
        <w:spacing w:after="0"/>
      </w:pPr>
      <w:r>
        <w:br/>
      </w:r>
    </w:p>
    <w:p w14:paraId="259D828A" w14:textId="77777777" w:rsidR="00783E8A" w:rsidRDefault="00783E8A" w:rsidP="00783E8A">
      <w:pPr>
        <w:pStyle w:val="CaseDisclaimer"/>
        <w:spacing w:after="60"/>
      </w:pPr>
      <w:r>
        <w:t>This case is fictional and intended for instructional discussion. Names, events, organizations, and operating data are invented, although the industry context is informed by public sources.</w:t>
      </w:r>
    </w:p>
    <w:p w14:paraId="378E2A59" w14:textId="2F7843B2" w:rsidR="00B950EE" w:rsidRDefault="00000000" w:rsidP="00AC764A">
      <w:r>
        <w:br/>
      </w:r>
    </w:p>
    <w:tbl>
      <w:tblPr>
        <w:tblStyle w:val="TableGrid"/>
        <w:tblW w:w="0" w:type="auto"/>
        <w:jc w:val="center"/>
        <w:tblLook w:val="04A0" w:firstRow="1" w:lastRow="0" w:firstColumn="1" w:lastColumn="0" w:noHBand="0" w:noVBand="1"/>
      </w:tblPr>
      <w:tblGrid>
        <w:gridCol w:w="10272"/>
      </w:tblGrid>
      <w:tr w:rsidR="00B950EE" w14:paraId="418885F3" w14:textId="77777777">
        <w:trPr>
          <w:jc w:val="center"/>
        </w:trPr>
        <w:tc>
          <w:tcPr>
            <w:tcW w:w="10282" w:type="dxa"/>
            <w:shd w:val="clear" w:color="auto" w:fill="EEF3F6"/>
            <w:vAlign w:val="center"/>
          </w:tcPr>
          <w:p w14:paraId="63FB7A1D" w14:textId="77777777" w:rsidR="00B950EE" w:rsidRDefault="00000000" w:rsidP="00AC764A">
            <w:r>
              <w:t>In October 2026, a primary-care team must decide how to redesign treatment for a patient whose blood glucose remains poorly controlled despite repeated visits, medication changes, and extensive counseling. The next step could improve his long-term health—or add cost and complexity that he may not be able to sustain.</w:t>
            </w:r>
          </w:p>
        </w:tc>
      </w:tr>
    </w:tbl>
    <w:p w14:paraId="2D8785D5" w14:textId="77777777" w:rsidR="00B950EE" w:rsidRDefault="00000000" w:rsidP="00AC764A">
      <w:r>
        <w:br/>
      </w:r>
    </w:p>
    <w:p w14:paraId="43260BF4" w14:textId="77777777" w:rsidR="00B950EE" w:rsidRDefault="00000000" w:rsidP="00AC764A">
      <w:r>
        <w:t>This case is fictional and is intended for instructional discussion, not medical guidance. Names, events, and internal data were created for the case. Public statistics are cited in the source note.</w:t>
      </w:r>
    </w:p>
    <w:p w14:paraId="25A565BC" w14:textId="77777777" w:rsidR="00B950EE" w:rsidRDefault="00000000" w:rsidP="00AC764A">
      <w:r>
        <w:br w:type="page"/>
      </w:r>
    </w:p>
    <w:p w14:paraId="553CABD2" w14:textId="77777777" w:rsidR="00B950EE" w:rsidRDefault="00000000" w:rsidP="00AC764A">
      <w:pPr>
        <w:pStyle w:val="Heading1"/>
      </w:pPr>
      <w:r>
        <w:lastRenderedPageBreak/>
        <w:t>The Tuesday Appointment</w:t>
      </w:r>
    </w:p>
    <w:p w14:paraId="13987EEB" w14:textId="77777777" w:rsidR="00B950EE" w:rsidRDefault="00000000" w:rsidP="00AC764A">
      <w:r>
        <w:t>At 7:35 on Tuesday morning, Dr. Elena Park opened the chart of Marcus Reed before the first appointment at Lakeside Medical Group’s Northgate clinic. Reed was 58 years old, worked rotating shifts as a maintenance supervisor, and had lived with Type 2 diabetes for nine years. His latest hemoglobin A1c was 9.2 percent—higher than it had been six months earlier and well above the individualized goal his care team had discussed with him.</w:t>
      </w:r>
    </w:p>
    <w:p w14:paraId="5C49B8DD" w14:textId="77777777" w:rsidR="00B950EE" w:rsidRDefault="00000000" w:rsidP="00AC764A">
      <w:r>
        <w:t xml:space="preserve">The number did not reveal what had gone wrong. Reed had stopped taking metformin after recurring gastrointestinal symptoms. He took a second oral medication most days, but not consistently when his shifts changed. He had lost eight pounds in the spring, regained five during a summer of overtime, and missed two appointments while caring for his mother. A short continuous glucose monitor trial </w:t>
      </w:r>
      <w:proofErr w:type="gramStart"/>
      <w:r>
        <w:t>had shown</w:t>
      </w:r>
      <w:proofErr w:type="gramEnd"/>
      <w:r>
        <w:t xml:space="preserve"> sharp increases after late-night meals, but also two overnight readings low enough to concern the clinic pharmacist.</w:t>
      </w:r>
    </w:p>
    <w:p w14:paraId="1345D8AB" w14:textId="77777777" w:rsidR="00B950EE" w:rsidRPr="00AC764A" w:rsidRDefault="00000000" w:rsidP="00AC764A">
      <w:r w:rsidRPr="00AC764A">
        <w:t>Park had scheduled a 30-minute case conference with a clinical pharmacist, diabetes educator, nurse care manager, and financial counselor. The group had to recommend a plan for the next ninety days. Options included adjusting medications, adding an injectable therapy, prescribing longer-term glucose monitoring, intensifying nutrition and exercise support, arranging more frequent contact, or simplifying the plan. Each option imposed different costs and burdens on Reed and the clinic. None guaranteed that the resulting plan would be followed—or that his body would respond as expected.</w:t>
      </w:r>
    </w:p>
    <w:p w14:paraId="7995DE8D" w14:textId="77777777" w:rsidR="00B950EE" w:rsidRDefault="00000000" w:rsidP="00AC764A">
      <w:pPr>
        <w:pStyle w:val="Heading1"/>
      </w:pPr>
      <w:r>
        <w:t>A Large and Expensive Condition</w:t>
      </w:r>
    </w:p>
    <w:p w14:paraId="0587BD8A" w14:textId="77777777" w:rsidR="00B950EE" w:rsidRDefault="00000000" w:rsidP="00AC764A">
      <w:r>
        <w:t>Reed’s situation was common enough to be a national problem but personal enough to resist a standard solution. CDC estimated that 40.1 million people in the United States had diagnosed or undiagnosed diabetes in 2023, equal to about 12 percent of the population. Type 2 diabetes accounts for roughly 90 to 95 percent of diagnosed cases. More than one-quarter of adults with diabetes were estimated to be unaware that they had it.</w:t>
      </w:r>
    </w:p>
    <w:p w14:paraId="437F036A" w14:textId="77777777" w:rsidR="00B950EE" w:rsidRDefault="00000000" w:rsidP="00AC764A">
      <w:r>
        <w:t>The financial burden was also substantial. Federal estimates placed the total cost of diabetes at hundreds of billions of dollars annually through direct medical spending and reduced productivity. People with diabetes incur medical costs more than twice those of people without the condition. Yet many of the most consequential outcomes—kidney failure, cardiovascular disease, vision loss, neuropathy, and lower-limb amputation—develop over years, while patients and clinicians make choices every day.</w:t>
      </w:r>
    </w:p>
    <w:p w14:paraId="7AB2E0C1" w14:textId="77777777" w:rsidR="00B950EE" w:rsidRDefault="00000000" w:rsidP="00AC764A">
      <w:pPr>
        <w:pStyle w:val="Heading2"/>
      </w:pPr>
      <w:r>
        <w:t>Exhibit 1. Marcus Reed: Current Clinical and Personal Profile</w:t>
      </w:r>
    </w:p>
    <w:tbl>
      <w:tblPr>
        <w:tblStyle w:val="TableGrid"/>
        <w:tblW w:w="0" w:type="auto"/>
        <w:jc w:val="center"/>
        <w:tblLook w:val="04A0" w:firstRow="1" w:lastRow="0" w:firstColumn="1" w:lastColumn="0" w:noHBand="0" w:noVBand="1"/>
      </w:tblPr>
      <w:tblGrid>
        <w:gridCol w:w="2232"/>
        <w:gridCol w:w="3672"/>
        <w:gridCol w:w="3744"/>
      </w:tblGrid>
      <w:tr w:rsidR="00B950EE" w14:paraId="3FB8AA4D" w14:textId="77777777">
        <w:trPr>
          <w:jc w:val="center"/>
        </w:trPr>
        <w:tc>
          <w:tcPr>
            <w:tcW w:w="2232" w:type="dxa"/>
            <w:shd w:val="clear" w:color="auto" w:fill="284B63"/>
            <w:vAlign w:val="center"/>
          </w:tcPr>
          <w:p w14:paraId="3B6557DB" w14:textId="77777777" w:rsidR="00B950EE" w:rsidRDefault="00000000" w:rsidP="00AC764A">
            <w:r>
              <w:t>Indicator</w:t>
            </w:r>
          </w:p>
        </w:tc>
        <w:tc>
          <w:tcPr>
            <w:tcW w:w="3672" w:type="dxa"/>
            <w:shd w:val="clear" w:color="auto" w:fill="284B63"/>
            <w:vAlign w:val="center"/>
          </w:tcPr>
          <w:p w14:paraId="39E83D42" w14:textId="77777777" w:rsidR="00B950EE" w:rsidRDefault="00000000" w:rsidP="00AC764A">
            <w:r>
              <w:t>Current information</w:t>
            </w:r>
          </w:p>
        </w:tc>
        <w:tc>
          <w:tcPr>
            <w:tcW w:w="3744" w:type="dxa"/>
            <w:shd w:val="clear" w:color="auto" w:fill="284B63"/>
            <w:vAlign w:val="center"/>
          </w:tcPr>
          <w:p w14:paraId="1D82D882" w14:textId="77777777" w:rsidR="00B950EE" w:rsidRDefault="00000000" w:rsidP="00AC764A">
            <w:r>
              <w:t>Prior / reference point</w:t>
            </w:r>
          </w:p>
        </w:tc>
      </w:tr>
      <w:tr w:rsidR="00B950EE" w14:paraId="3FCF355D" w14:textId="77777777">
        <w:trPr>
          <w:jc w:val="center"/>
        </w:trPr>
        <w:tc>
          <w:tcPr>
            <w:tcW w:w="2232" w:type="dxa"/>
            <w:vAlign w:val="center"/>
          </w:tcPr>
          <w:p w14:paraId="2A6A12DB" w14:textId="77777777" w:rsidR="00B950EE" w:rsidRDefault="00000000" w:rsidP="00AC764A">
            <w:r>
              <w:t>Hemoglobin A1c</w:t>
            </w:r>
          </w:p>
        </w:tc>
        <w:tc>
          <w:tcPr>
            <w:tcW w:w="3672" w:type="dxa"/>
            <w:vAlign w:val="center"/>
          </w:tcPr>
          <w:p w14:paraId="42622EF4" w14:textId="77777777" w:rsidR="00B950EE" w:rsidRDefault="00000000" w:rsidP="00AC764A">
            <w:r>
              <w:t>9.2%</w:t>
            </w:r>
          </w:p>
        </w:tc>
        <w:tc>
          <w:tcPr>
            <w:tcW w:w="3744" w:type="dxa"/>
            <w:vAlign w:val="center"/>
          </w:tcPr>
          <w:p w14:paraId="4BB026D9" w14:textId="77777777" w:rsidR="00B950EE" w:rsidRDefault="00000000" w:rsidP="00AC764A">
            <w:r>
              <w:t>8.4% six months earlier</w:t>
            </w:r>
          </w:p>
        </w:tc>
      </w:tr>
      <w:tr w:rsidR="00B950EE" w14:paraId="1FD291ED" w14:textId="77777777">
        <w:trPr>
          <w:jc w:val="center"/>
        </w:trPr>
        <w:tc>
          <w:tcPr>
            <w:tcW w:w="2232" w:type="dxa"/>
            <w:shd w:val="clear" w:color="auto" w:fill="EEF3F6"/>
            <w:vAlign w:val="center"/>
          </w:tcPr>
          <w:p w14:paraId="0B3F0528" w14:textId="77777777" w:rsidR="00B950EE" w:rsidRDefault="00000000" w:rsidP="00AC764A">
            <w:r>
              <w:t>Fasting laboratory glucose</w:t>
            </w:r>
          </w:p>
        </w:tc>
        <w:tc>
          <w:tcPr>
            <w:tcW w:w="3672" w:type="dxa"/>
            <w:shd w:val="clear" w:color="auto" w:fill="EEF3F6"/>
            <w:vAlign w:val="center"/>
          </w:tcPr>
          <w:p w14:paraId="0BB5973E" w14:textId="77777777" w:rsidR="00B950EE" w:rsidRDefault="00000000" w:rsidP="00AC764A">
            <w:r>
              <w:t>186 mg/dL</w:t>
            </w:r>
          </w:p>
        </w:tc>
        <w:tc>
          <w:tcPr>
            <w:tcW w:w="3744" w:type="dxa"/>
            <w:shd w:val="clear" w:color="auto" w:fill="EEF3F6"/>
            <w:vAlign w:val="center"/>
          </w:tcPr>
          <w:p w14:paraId="5077D27B" w14:textId="77777777" w:rsidR="00B950EE" w:rsidRDefault="00000000" w:rsidP="00AC764A">
            <w:r>
              <w:t>154 mg/dL six months earlier</w:t>
            </w:r>
          </w:p>
        </w:tc>
      </w:tr>
      <w:tr w:rsidR="00B950EE" w14:paraId="42EDFD04" w14:textId="77777777">
        <w:trPr>
          <w:jc w:val="center"/>
        </w:trPr>
        <w:tc>
          <w:tcPr>
            <w:tcW w:w="2232" w:type="dxa"/>
            <w:vAlign w:val="center"/>
          </w:tcPr>
          <w:p w14:paraId="6C34F162" w14:textId="77777777" w:rsidR="00B950EE" w:rsidRDefault="00000000" w:rsidP="00AC764A">
            <w:r>
              <w:t>Blood pressure</w:t>
            </w:r>
          </w:p>
        </w:tc>
        <w:tc>
          <w:tcPr>
            <w:tcW w:w="3672" w:type="dxa"/>
            <w:vAlign w:val="center"/>
          </w:tcPr>
          <w:p w14:paraId="461D36F6" w14:textId="77777777" w:rsidR="00B950EE" w:rsidRDefault="00000000" w:rsidP="00AC764A">
            <w:r>
              <w:t>142/86 mm Hg</w:t>
            </w:r>
          </w:p>
        </w:tc>
        <w:tc>
          <w:tcPr>
            <w:tcW w:w="3744" w:type="dxa"/>
            <w:vAlign w:val="center"/>
          </w:tcPr>
          <w:p w14:paraId="69D246AB" w14:textId="77777777" w:rsidR="00B950EE" w:rsidRDefault="00000000" w:rsidP="00AC764A">
            <w:r>
              <w:t>Usually 134–140 / 80–86</w:t>
            </w:r>
          </w:p>
        </w:tc>
      </w:tr>
      <w:tr w:rsidR="00B950EE" w14:paraId="4D2F0F4C" w14:textId="77777777">
        <w:trPr>
          <w:jc w:val="center"/>
        </w:trPr>
        <w:tc>
          <w:tcPr>
            <w:tcW w:w="2232" w:type="dxa"/>
            <w:shd w:val="clear" w:color="auto" w:fill="EEF3F6"/>
            <w:vAlign w:val="center"/>
          </w:tcPr>
          <w:p w14:paraId="3F1055B3" w14:textId="77777777" w:rsidR="00B950EE" w:rsidRDefault="00000000" w:rsidP="00AC764A">
            <w:r>
              <w:t>Weight</w:t>
            </w:r>
          </w:p>
        </w:tc>
        <w:tc>
          <w:tcPr>
            <w:tcW w:w="3672" w:type="dxa"/>
            <w:shd w:val="clear" w:color="auto" w:fill="EEF3F6"/>
            <w:vAlign w:val="center"/>
          </w:tcPr>
          <w:p w14:paraId="70B4864C" w14:textId="77777777" w:rsidR="00B950EE" w:rsidRDefault="00000000" w:rsidP="00AC764A">
            <w:r>
              <w:t>226 lb</w:t>
            </w:r>
          </w:p>
        </w:tc>
        <w:tc>
          <w:tcPr>
            <w:tcW w:w="3744" w:type="dxa"/>
            <w:shd w:val="clear" w:color="auto" w:fill="EEF3F6"/>
            <w:vAlign w:val="center"/>
          </w:tcPr>
          <w:p w14:paraId="5890FC62" w14:textId="77777777" w:rsidR="00B950EE" w:rsidRDefault="00000000" w:rsidP="00AC764A">
            <w:r>
              <w:t>221 lb three months earlier</w:t>
            </w:r>
          </w:p>
        </w:tc>
      </w:tr>
      <w:tr w:rsidR="00B950EE" w14:paraId="74804AB1" w14:textId="77777777">
        <w:trPr>
          <w:jc w:val="center"/>
        </w:trPr>
        <w:tc>
          <w:tcPr>
            <w:tcW w:w="2232" w:type="dxa"/>
            <w:vAlign w:val="center"/>
          </w:tcPr>
          <w:p w14:paraId="216AAC54" w14:textId="77777777" w:rsidR="00B950EE" w:rsidRDefault="00000000" w:rsidP="00AC764A">
            <w:r>
              <w:t>Kidney function</w:t>
            </w:r>
          </w:p>
        </w:tc>
        <w:tc>
          <w:tcPr>
            <w:tcW w:w="3672" w:type="dxa"/>
            <w:vAlign w:val="center"/>
          </w:tcPr>
          <w:p w14:paraId="1461E491" w14:textId="77777777" w:rsidR="00B950EE" w:rsidRDefault="00000000" w:rsidP="00AC764A">
            <w:r>
              <w:t>Mild decline; stable on repeat test</w:t>
            </w:r>
          </w:p>
        </w:tc>
        <w:tc>
          <w:tcPr>
            <w:tcW w:w="3744" w:type="dxa"/>
            <w:vAlign w:val="center"/>
          </w:tcPr>
          <w:p w14:paraId="0A8A3E2F" w14:textId="77777777" w:rsidR="00B950EE" w:rsidRDefault="00000000" w:rsidP="00AC764A">
            <w:r>
              <w:t>Normal two years earlier</w:t>
            </w:r>
          </w:p>
        </w:tc>
      </w:tr>
      <w:tr w:rsidR="00B950EE" w14:paraId="0848DCF1" w14:textId="77777777">
        <w:trPr>
          <w:jc w:val="center"/>
        </w:trPr>
        <w:tc>
          <w:tcPr>
            <w:tcW w:w="2232" w:type="dxa"/>
            <w:shd w:val="clear" w:color="auto" w:fill="EEF3F6"/>
            <w:vAlign w:val="center"/>
          </w:tcPr>
          <w:p w14:paraId="78BE5C49" w14:textId="77777777" w:rsidR="00B950EE" w:rsidRDefault="00000000" w:rsidP="00AC764A">
            <w:r>
              <w:t>Eye examination</w:t>
            </w:r>
          </w:p>
        </w:tc>
        <w:tc>
          <w:tcPr>
            <w:tcW w:w="3672" w:type="dxa"/>
            <w:shd w:val="clear" w:color="auto" w:fill="EEF3F6"/>
            <w:vAlign w:val="center"/>
          </w:tcPr>
          <w:p w14:paraId="39E7639E" w14:textId="77777777" w:rsidR="00B950EE" w:rsidRDefault="00000000" w:rsidP="00AC764A">
            <w:r>
              <w:t>Overdue by 14 months</w:t>
            </w:r>
          </w:p>
        </w:tc>
        <w:tc>
          <w:tcPr>
            <w:tcW w:w="3744" w:type="dxa"/>
            <w:shd w:val="clear" w:color="auto" w:fill="EEF3F6"/>
            <w:vAlign w:val="center"/>
          </w:tcPr>
          <w:p w14:paraId="7CE56B0D" w14:textId="77777777" w:rsidR="00B950EE" w:rsidRDefault="00000000" w:rsidP="00AC764A">
            <w:r>
              <w:t>No retinopathy at last exam</w:t>
            </w:r>
          </w:p>
        </w:tc>
      </w:tr>
      <w:tr w:rsidR="00B950EE" w14:paraId="71581793" w14:textId="77777777">
        <w:trPr>
          <w:jc w:val="center"/>
        </w:trPr>
        <w:tc>
          <w:tcPr>
            <w:tcW w:w="2232" w:type="dxa"/>
            <w:vAlign w:val="center"/>
          </w:tcPr>
          <w:p w14:paraId="6E50CFE8" w14:textId="77777777" w:rsidR="00B950EE" w:rsidRDefault="00000000" w:rsidP="00AC764A">
            <w:r>
              <w:t>Foot symptoms</w:t>
            </w:r>
          </w:p>
        </w:tc>
        <w:tc>
          <w:tcPr>
            <w:tcW w:w="3672" w:type="dxa"/>
            <w:vAlign w:val="center"/>
          </w:tcPr>
          <w:p w14:paraId="2D44E6A0" w14:textId="77777777" w:rsidR="00B950EE" w:rsidRDefault="00000000" w:rsidP="00AC764A">
            <w:r>
              <w:t>Intermittent numbness</w:t>
            </w:r>
          </w:p>
        </w:tc>
        <w:tc>
          <w:tcPr>
            <w:tcW w:w="3744" w:type="dxa"/>
            <w:vAlign w:val="center"/>
          </w:tcPr>
          <w:p w14:paraId="47505EF7" w14:textId="77777777" w:rsidR="00B950EE" w:rsidRDefault="00000000" w:rsidP="00AC764A">
            <w:r>
              <w:t>Reported twice in past year</w:t>
            </w:r>
          </w:p>
        </w:tc>
      </w:tr>
      <w:tr w:rsidR="00B950EE" w14:paraId="55E6004E" w14:textId="77777777">
        <w:trPr>
          <w:jc w:val="center"/>
        </w:trPr>
        <w:tc>
          <w:tcPr>
            <w:tcW w:w="2232" w:type="dxa"/>
            <w:shd w:val="clear" w:color="auto" w:fill="EEF3F6"/>
            <w:vAlign w:val="center"/>
          </w:tcPr>
          <w:p w14:paraId="5B8D472E" w14:textId="77777777" w:rsidR="00B950EE" w:rsidRDefault="00000000" w:rsidP="00AC764A">
            <w:r>
              <w:t>Work pattern</w:t>
            </w:r>
          </w:p>
        </w:tc>
        <w:tc>
          <w:tcPr>
            <w:tcW w:w="3672" w:type="dxa"/>
            <w:shd w:val="clear" w:color="auto" w:fill="EEF3F6"/>
            <w:vAlign w:val="center"/>
          </w:tcPr>
          <w:p w14:paraId="55F09563" w14:textId="77777777" w:rsidR="00B950EE" w:rsidRDefault="00000000" w:rsidP="00AC764A">
            <w:r>
              <w:t>Rotating day/night shifts</w:t>
            </w:r>
          </w:p>
        </w:tc>
        <w:tc>
          <w:tcPr>
            <w:tcW w:w="3744" w:type="dxa"/>
            <w:shd w:val="clear" w:color="auto" w:fill="EEF3F6"/>
            <w:vAlign w:val="center"/>
          </w:tcPr>
          <w:p w14:paraId="099FE377" w14:textId="77777777" w:rsidR="00B950EE" w:rsidRDefault="00000000" w:rsidP="00AC764A">
            <w:r>
              <w:t>Schedule changes weekly</w:t>
            </w:r>
          </w:p>
        </w:tc>
      </w:tr>
      <w:tr w:rsidR="00B950EE" w14:paraId="49257F4A" w14:textId="77777777">
        <w:trPr>
          <w:jc w:val="center"/>
        </w:trPr>
        <w:tc>
          <w:tcPr>
            <w:tcW w:w="2232" w:type="dxa"/>
            <w:vAlign w:val="center"/>
          </w:tcPr>
          <w:p w14:paraId="73A69363" w14:textId="77777777" w:rsidR="00B950EE" w:rsidRDefault="00000000" w:rsidP="00AC764A">
            <w:r>
              <w:t>Medication coverage</w:t>
            </w:r>
          </w:p>
        </w:tc>
        <w:tc>
          <w:tcPr>
            <w:tcW w:w="3672" w:type="dxa"/>
            <w:vAlign w:val="center"/>
          </w:tcPr>
          <w:p w14:paraId="5871421C" w14:textId="77777777" w:rsidR="00B950EE" w:rsidRDefault="00000000" w:rsidP="00AC764A">
            <w:r>
              <w:t>$2,000 annual deductible</w:t>
            </w:r>
          </w:p>
        </w:tc>
        <w:tc>
          <w:tcPr>
            <w:tcW w:w="3744" w:type="dxa"/>
            <w:vAlign w:val="center"/>
          </w:tcPr>
          <w:p w14:paraId="0C0223D6" w14:textId="77777777" w:rsidR="00B950EE" w:rsidRDefault="00000000" w:rsidP="00AC764A">
            <w:r>
              <w:t>Deductible resets January 1</w:t>
            </w:r>
          </w:p>
        </w:tc>
      </w:tr>
    </w:tbl>
    <w:p w14:paraId="3E911CB7" w14:textId="77777777" w:rsidR="00B950EE" w:rsidRDefault="00B950EE" w:rsidP="00AC764A"/>
    <w:p w14:paraId="6007625C" w14:textId="77777777" w:rsidR="00B950EE" w:rsidRDefault="00000000" w:rsidP="00AC764A">
      <w:pPr>
        <w:pStyle w:val="BodyText"/>
      </w:pPr>
      <w:r>
        <w:t xml:space="preserve">Park was reluctant to interpret the rising A1c as a simple failure of effort. It summarized roughly two to three months of glucose exposure but did not show when Reed’s levels were high or low. Finger-stick readings were sparse and clustered before </w:t>
      </w:r>
      <w:r>
        <w:lastRenderedPageBreak/>
        <w:t>appointments. The monitor trial covered only fourteen days, including one week when Reed worked nights and one when he was on vacation.</w:t>
      </w:r>
    </w:p>
    <w:p w14:paraId="16554103" w14:textId="77777777" w:rsidR="00B950EE" w:rsidRDefault="00000000" w:rsidP="00AC764A">
      <w:r>
        <w:br w:type="page"/>
      </w:r>
    </w:p>
    <w:p w14:paraId="5FABBE8B" w14:textId="77777777" w:rsidR="00B950EE" w:rsidRDefault="00000000" w:rsidP="00AC764A">
      <w:pPr>
        <w:pStyle w:val="Heading1"/>
      </w:pPr>
      <w:r>
        <w:lastRenderedPageBreak/>
        <w:t>What the Monitor Revealed—and Concealed</w:t>
      </w:r>
    </w:p>
    <w:p w14:paraId="5AB9CC03" w14:textId="77777777" w:rsidR="00B950EE" w:rsidRPr="00AC764A" w:rsidRDefault="00000000" w:rsidP="00AC764A">
      <w:r w:rsidRPr="00AC764A">
        <w:t>The continuous monitor had produced more than 1,300 readings. Reed’s average glucose was high, but the daily patterns varied widely. On day shifts, breakfast and lunch were relatively predictable. On night shifts, he sometimes ate a large meal near midnight, skipped breakfast, and slept until early afternoon. Exercise depended on whether he spent the day supervising or repairing equipment himself.</w:t>
      </w:r>
    </w:p>
    <w:p w14:paraId="24D4700D" w14:textId="77777777" w:rsidR="00B950EE" w:rsidRDefault="00000000" w:rsidP="00AC764A">
      <w:pPr>
        <w:pStyle w:val="Heading2"/>
      </w:pPr>
      <w:r>
        <w:t>Exhibit 2. Fourteen-Day Glucose Monitor Summary</w:t>
      </w:r>
    </w:p>
    <w:tbl>
      <w:tblPr>
        <w:tblStyle w:val="TableGrid"/>
        <w:tblW w:w="0" w:type="auto"/>
        <w:jc w:val="center"/>
        <w:tblLook w:val="04A0" w:firstRow="1" w:lastRow="0" w:firstColumn="1" w:lastColumn="0" w:noHBand="0" w:noVBand="1"/>
      </w:tblPr>
      <w:tblGrid>
        <w:gridCol w:w="2664"/>
        <w:gridCol w:w="2376"/>
        <w:gridCol w:w="4608"/>
      </w:tblGrid>
      <w:tr w:rsidR="00B950EE" w14:paraId="0265A723" w14:textId="77777777">
        <w:trPr>
          <w:jc w:val="center"/>
        </w:trPr>
        <w:tc>
          <w:tcPr>
            <w:tcW w:w="2664" w:type="dxa"/>
            <w:shd w:val="clear" w:color="auto" w:fill="284B63"/>
            <w:vAlign w:val="center"/>
          </w:tcPr>
          <w:p w14:paraId="04DB57DA" w14:textId="77777777" w:rsidR="00B950EE" w:rsidRDefault="00000000" w:rsidP="00AC764A">
            <w:r>
              <w:t>Measure</w:t>
            </w:r>
          </w:p>
        </w:tc>
        <w:tc>
          <w:tcPr>
            <w:tcW w:w="2376" w:type="dxa"/>
            <w:shd w:val="clear" w:color="auto" w:fill="284B63"/>
            <w:vAlign w:val="center"/>
          </w:tcPr>
          <w:p w14:paraId="6DC5F15A" w14:textId="77777777" w:rsidR="00B950EE" w:rsidRDefault="00000000" w:rsidP="00AC764A">
            <w:r>
              <w:t>Observed result</w:t>
            </w:r>
          </w:p>
        </w:tc>
        <w:tc>
          <w:tcPr>
            <w:tcW w:w="4608" w:type="dxa"/>
            <w:shd w:val="clear" w:color="auto" w:fill="284B63"/>
            <w:vAlign w:val="center"/>
          </w:tcPr>
          <w:p w14:paraId="5DC8FB83" w14:textId="77777777" w:rsidR="00B950EE" w:rsidRDefault="00000000" w:rsidP="00AC764A">
            <w:r>
              <w:t>Pattern noted by team</w:t>
            </w:r>
          </w:p>
        </w:tc>
      </w:tr>
      <w:tr w:rsidR="00B950EE" w14:paraId="31742891" w14:textId="77777777">
        <w:trPr>
          <w:jc w:val="center"/>
        </w:trPr>
        <w:tc>
          <w:tcPr>
            <w:tcW w:w="2664" w:type="dxa"/>
            <w:vAlign w:val="center"/>
          </w:tcPr>
          <w:p w14:paraId="10C99554" w14:textId="77777777" w:rsidR="00B950EE" w:rsidRDefault="00000000" w:rsidP="00AC764A">
            <w:r>
              <w:t>Average glucose</w:t>
            </w:r>
          </w:p>
        </w:tc>
        <w:tc>
          <w:tcPr>
            <w:tcW w:w="2376" w:type="dxa"/>
            <w:vAlign w:val="center"/>
          </w:tcPr>
          <w:p w14:paraId="2072600E" w14:textId="77777777" w:rsidR="00B950EE" w:rsidRDefault="00000000" w:rsidP="00AC764A">
            <w:r>
              <w:t>204 mg/dL</w:t>
            </w:r>
          </w:p>
        </w:tc>
        <w:tc>
          <w:tcPr>
            <w:tcW w:w="4608" w:type="dxa"/>
            <w:vAlign w:val="center"/>
          </w:tcPr>
          <w:p w14:paraId="5EDBCDD4" w14:textId="77777777" w:rsidR="00B950EE" w:rsidRDefault="00000000" w:rsidP="00AC764A">
            <w:r>
              <w:t>Higher on night-shift days</w:t>
            </w:r>
          </w:p>
        </w:tc>
      </w:tr>
      <w:tr w:rsidR="00B950EE" w14:paraId="6CB080C7" w14:textId="77777777">
        <w:trPr>
          <w:jc w:val="center"/>
        </w:trPr>
        <w:tc>
          <w:tcPr>
            <w:tcW w:w="2664" w:type="dxa"/>
            <w:shd w:val="clear" w:color="auto" w:fill="EEF3F6"/>
            <w:vAlign w:val="center"/>
          </w:tcPr>
          <w:p w14:paraId="50450164" w14:textId="77777777" w:rsidR="00B950EE" w:rsidRDefault="00000000" w:rsidP="00AC764A">
            <w:r>
              <w:t>Time 70–180 mg/dL</w:t>
            </w:r>
          </w:p>
        </w:tc>
        <w:tc>
          <w:tcPr>
            <w:tcW w:w="2376" w:type="dxa"/>
            <w:shd w:val="clear" w:color="auto" w:fill="EEF3F6"/>
            <w:vAlign w:val="center"/>
          </w:tcPr>
          <w:p w14:paraId="02533472" w14:textId="77777777" w:rsidR="00B950EE" w:rsidRDefault="00000000" w:rsidP="00AC764A">
            <w:r>
              <w:t>38%</w:t>
            </w:r>
          </w:p>
        </w:tc>
        <w:tc>
          <w:tcPr>
            <w:tcW w:w="4608" w:type="dxa"/>
            <w:shd w:val="clear" w:color="auto" w:fill="EEF3F6"/>
            <w:vAlign w:val="center"/>
          </w:tcPr>
          <w:p w14:paraId="4D0FA818" w14:textId="77777777" w:rsidR="00B950EE" w:rsidRDefault="00000000" w:rsidP="00AC764A">
            <w:r>
              <w:t>Best on weekends with regular meals</w:t>
            </w:r>
          </w:p>
        </w:tc>
      </w:tr>
      <w:tr w:rsidR="00B950EE" w14:paraId="79C1E877" w14:textId="77777777">
        <w:trPr>
          <w:jc w:val="center"/>
        </w:trPr>
        <w:tc>
          <w:tcPr>
            <w:tcW w:w="2664" w:type="dxa"/>
            <w:vAlign w:val="center"/>
          </w:tcPr>
          <w:p w14:paraId="4A493DE4" w14:textId="77777777" w:rsidR="00B950EE" w:rsidRDefault="00000000" w:rsidP="00AC764A">
            <w:r>
              <w:t>Time above 180 mg/dL</w:t>
            </w:r>
          </w:p>
        </w:tc>
        <w:tc>
          <w:tcPr>
            <w:tcW w:w="2376" w:type="dxa"/>
            <w:vAlign w:val="center"/>
          </w:tcPr>
          <w:p w14:paraId="76D8275F" w14:textId="77777777" w:rsidR="00B950EE" w:rsidRDefault="00000000" w:rsidP="00AC764A">
            <w:r>
              <w:t>59%</w:t>
            </w:r>
          </w:p>
        </w:tc>
        <w:tc>
          <w:tcPr>
            <w:tcW w:w="4608" w:type="dxa"/>
            <w:vAlign w:val="center"/>
          </w:tcPr>
          <w:p w14:paraId="5D6B55A8" w14:textId="77777777" w:rsidR="00B950EE" w:rsidRDefault="00000000" w:rsidP="00AC764A">
            <w:r>
              <w:t>Concentrated after evening / night meals</w:t>
            </w:r>
          </w:p>
        </w:tc>
      </w:tr>
      <w:tr w:rsidR="00B950EE" w14:paraId="70E0E37D" w14:textId="77777777">
        <w:trPr>
          <w:jc w:val="center"/>
        </w:trPr>
        <w:tc>
          <w:tcPr>
            <w:tcW w:w="2664" w:type="dxa"/>
            <w:shd w:val="clear" w:color="auto" w:fill="EEF3F6"/>
            <w:vAlign w:val="center"/>
          </w:tcPr>
          <w:p w14:paraId="1F0026A7" w14:textId="77777777" w:rsidR="00B950EE" w:rsidRDefault="00000000" w:rsidP="00AC764A">
            <w:r>
              <w:t>Time below 70 mg/dL</w:t>
            </w:r>
          </w:p>
        </w:tc>
        <w:tc>
          <w:tcPr>
            <w:tcW w:w="2376" w:type="dxa"/>
            <w:shd w:val="clear" w:color="auto" w:fill="EEF3F6"/>
            <w:vAlign w:val="center"/>
          </w:tcPr>
          <w:p w14:paraId="63D78D3D" w14:textId="77777777" w:rsidR="00B950EE" w:rsidRDefault="00000000" w:rsidP="00AC764A">
            <w:r>
              <w:t>3%</w:t>
            </w:r>
          </w:p>
        </w:tc>
        <w:tc>
          <w:tcPr>
            <w:tcW w:w="4608" w:type="dxa"/>
            <w:shd w:val="clear" w:color="auto" w:fill="EEF3F6"/>
            <w:vAlign w:val="center"/>
          </w:tcPr>
          <w:p w14:paraId="5F523C51" w14:textId="77777777" w:rsidR="00B950EE" w:rsidRDefault="00000000" w:rsidP="00AC764A">
            <w:r>
              <w:t>Two overnight episodes</w:t>
            </w:r>
          </w:p>
        </w:tc>
      </w:tr>
      <w:tr w:rsidR="00B950EE" w14:paraId="733C4E3B" w14:textId="77777777">
        <w:trPr>
          <w:jc w:val="center"/>
        </w:trPr>
        <w:tc>
          <w:tcPr>
            <w:tcW w:w="2664" w:type="dxa"/>
            <w:vAlign w:val="center"/>
          </w:tcPr>
          <w:p w14:paraId="7E841A1B" w14:textId="77777777" w:rsidR="00B950EE" w:rsidRDefault="00000000" w:rsidP="00AC764A">
            <w:r>
              <w:t>Estimated A1c equivalent</w:t>
            </w:r>
          </w:p>
        </w:tc>
        <w:tc>
          <w:tcPr>
            <w:tcW w:w="2376" w:type="dxa"/>
            <w:vAlign w:val="center"/>
          </w:tcPr>
          <w:p w14:paraId="2CEA8D00" w14:textId="77777777" w:rsidR="00B950EE" w:rsidRDefault="00000000" w:rsidP="00AC764A">
            <w:r>
              <w:t>8.7%</w:t>
            </w:r>
          </w:p>
        </w:tc>
        <w:tc>
          <w:tcPr>
            <w:tcW w:w="4608" w:type="dxa"/>
            <w:vAlign w:val="center"/>
          </w:tcPr>
          <w:p w14:paraId="3D2FF0F9" w14:textId="77777777" w:rsidR="00B950EE" w:rsidRDefault="00000000" w:rsidP="00AC764A">
            <w:r>
              <w:t>Lower than laboratory A1c</w:t>
            </w:r>
          </w:p>
        </w:tc>
      </w:tr>
      <w:tr w:rsidR="00B950EE" w14:paraId="4F907219" w14:textId="77777777">
        <w:trPr>
          <w:jc w:val="center"/>
        </w:trPr>
        <w:tc>
          <w:tcPr>
            <w:tcW w:w="2664" w:type="dxa"/>
            <w:shd w:val="clear" w:color="auto" w:fill="EEF3F6"/>
            <w:vAlign w:val="center"/>
          </w:tcPr>
          <w:p w14:paraId="6B921C1A" w14:textId="77777777" w:rsidR="00B950EE" w:rsidRDefault="00000000" w:rsidP="00AC764A">
            <w:r>
              <w:t>Daily variability</w:t>
            </w:r>
          </w:p>
        </w:tc>
        <w:tc>
          <w:tcPr>
            <w:tcW w:w="2376" w:type="dxa"/>
            <w:shd w:val="clear" w:color="auto" w:fill="EEF3F6"/>
            <w:vAlign w:val="center"/>
          </w:tcPr>
          <w:p w14:paraId="5F4CF639" w14:textId="77777777" w:rsidR="00B950EE" w:rsidRDefault="00000000" w:rsidP="00AC764A">
            <w:r>
              <w:t>High</w:t>
            </w:r>
          </w:p>
        </w:tc>
        <w:tc>
          <w:tcPr>
            <w:tcW w:w="4608" w:type="dxa"/>
            <w:shd w:val="clear" w:color="auto" w:fill="EEF3F6"/>
            <w:vAlign w:val="center"/>
          </w:tcPr>
          <w:p w14:paraId="268ECE63" w14:textId="77777777" w:rsidR="00B950EE" w:rsidRDefault="00000000" w:rsidP="00AC764A">
            <w:r>
              <w:t>Meal timing and medication timing both changed</w:t>
            </w:r>
          </w:p>
        </w:tc>
      </w:tr>
    </w:tbl>
    <w:p w14:paraId="73760385" w14:textId="77777777" w:rsidR="00B950EE" w:rsidRDefault="00B950EE" w:rsidP="00AC764A"/>
    <w:p w14:paraId="1171E860" w14:textId="77777777" w:rsidR="00B950EE" w:rsidRDefault="00000000" w:rsidP="00AC764A">
      <w:r>
        <w:t>The pharmacist saw evidence that the current medication might contribute to overnight lows when Reed skipped meals. The educator saw a meal-timing problem. Park saw evidence that a more effective drug might be needed. Reed saw a device that beeped during meetings, loosened when he perspired, and made him anxious whenever the graph moved sharply.</w:t>
      </w:r>
    </w:p>
    <w:p w14:paraId="59EC6372" w14:textId="77777777" w:rsidR="00B950EE" w:rsidRDefault="00000000" w:rsidP="00AC764A">
      <w:r>
        <w:t>The monitor also created questions about observation itself. Reed reported changing what he ate because he knew the device was recording. If monitoring improved his behavior, it could be part of the treatment. If it merely produced two unusually disciplined weeks, its forecasts of future control might be misleading.</w:t>
      </w:r>
    </w:p>
    <w:p w14:paraId="262A6211" w14:textId="77777777" w:rsidR="00AC764A" w:rsidRDefault="00AC764A" w:rsidP="00AC764A">
      <w:pPr>
        <w:rPr>
          <w:rFonts w:asciiTheme="majorHAnsi" w:eastAsiaTheme="majorEastAsia" w:hAnsiTheme="majorHAnsi" w:cstheme="majorBidi"/>
          <w:color w:val="284B63"/>
          <w:sz w:val="30"/>
          <w:szCs w:val="28"/>
        </w:rPr>
      </w:pPr>
      <w:r>
        <w:br w:type="page"/>
      </w:r>
    </w:p>
    <w:p w14:paraId="5CAFEB92" w14:textId="05263776" w:rsidR="00B950EE" w:rsidRDefault="00000000" w:rsidP="00AC764A">
      <w:pPr>
        <w:pStyle w:val="Heading1"/>
      </w:pPr>
      <w:r>
        <w:lastRenderedPageBreak/>
        <w:t>The Treatment Path So Far</w:t>
      </w:r>
    </w:p>
    <w:p w14:paraId="63ED341A" w14:textId="77777777" w:rsidR="00B950EE" w:rsidRDefault="00000000" w:rsidP="00AC764A">
      <w:r>
        <w:t>When Reed was diagnosed, his A1c declined after he changed his diet, walked regularly, and began metformin. Over time, the benefits weakened. Increasing the dose caused stomach problems. A lower dose was tolerable but appeared insufficient. A second oral drug improved readings but introduced a greater concern about low glucose when meals were delayed. Reed resisted injections, partly because he associated them with the severe diabetes experienced by his father.</w:t>
      </w:r>
    </w:p>
    <w:p w14:paraId="1DF4B126" w14:textId="77777777" w:rsidR="00B950EE" w:rsidRDefault="00000000" w:rsidP="00AC764A">
      <w:r>
        <w:t>Lakeside’s clinicians had several broad treatment paths available. Newer medications could improve glucose levels and sometimes help with weight or cardiovascular risk, but insurance approval and out-of-pocket expense varied. Insulin could reduce glucose reliably when taken and adjusted appropriately, but it required education, monitoring, and attention to low-glucose risk. Technology could reveal patterns, but only if Reed wore it and the care team had time to interpret the data.</w:t>
      </w:r>
    </w:p>
    <w:p w14:paraId="4F3CC144" w14:textId="77777777" w:rsidR="00B950EE" w:rsidRDefault="00000000" w:rsidP="00AC764A">
      <w:pPr>
        <w:pStyle w:val="Heading2"/>
      </w:pPr>
      <w:r>
        <w:t>Exhibit 3. Planning Estimates for Selected Approaches</w:t>
      </w:r>
    </w:p>
    <w:tbl>
      <w:tblPr>
        <w:tblStyle w:val="TableGrid"/>
        <w:tblW w:w="0" w:type="auto"/>
        <w:jc w:val="center"/>
        <w:tblLook w:val="04A0" w:firstRow="1" w:lastRow="0" w:firstColumn="1" w:lastColumn="0" w:noHBand="0" w:noVBand="1"/>
      </w:tblPr>
      <w:tblGrid>
        <w:gridCol w:w="2520"/>
        <w:gridCol w:w="2016"/>
        <w:gridCol w:w="2664"/>
        <w:gridCol w:w="2520"/>
      </w:tblGrid>
      <w:tr w:rsidR="00B950EE" w14:paraId="504E26F3" w14:textId="77777777">
        <w:trPr>
          <w:jc w:val="center"/>
        </w:trPr>
        <w:tc>
          <w:tcPr>
            <w:tcW w:w="2520" w:type="dxa"/>
            <w:shd w:val="clear" w:color="auto" w:fill="284B63"/>
            <w:vAlign w:val="center"/>
          </w:tcPr>
          <w:p w14:paraId="68CF2BF6" w14:textId="77777777" w:rsidR="00B950EE" w:rsidRDefault="00000000" w:rsidP="00AC764A">
            <w:r>
              <w:t>Approach</w:t>
            </w:r>
          </w:p>
        </w:tc>
        <w:tc>
          <w:tcPr>
            <w:tcW w:w="2016" w:type="dxa"/>
            <w:shd w:val="clear" w:color="auto" w:fill="284B63"/>
            <w:vAlign w:val="center"/>
          </w:tcPr>
          <w:p w14:paraId="6ED66989" w14:textId="77777777" w:rsidR="00B950EE" w:rsidRDefault="00000000" w:rsidP="00AC764A">
            <w:r>
              <w:t>Estimated patient cost*</w:t>
            </w:r>
          </w:p>
        </w:tc>
        <w:tc>
          <w:tcPr>
            <w:tcW w:w="2664" w:type="dxa"/>
            <w:shd w:val="clear" w:color="auto" w:fill="284B63"/>
            <w:vAlign w:val="center"/>
          </w:tcPr>
          <w:p w14:paraId="329B9F90" w14:textId="77777777" w:rsidR="00B950EE" w:rsidRDefault="00000000" w:rsidP="00AC764A">
            <w:r>
              <w:t>Clinic effort in first 90 days</w:t>
            </w:r>
          </w:p>
        </w:tc>
        <w:tc>
          <w:tcPr>
            <w:tcW w:w="2520" w:type="dxa"/>
            <w:shd w:val="clear" w:color="auto" w:fill="284B63"/>
            <w:vAlign w:val="center"/>
          </w:tcPr>
          <w:p w14:paraId="17451548" w14:textId="77777777" w:rsidR="00B950EE" w:rsidRDefault="00000000" w:rsidP="00AC764A">
            <w:r>
              <w:t>Principal concern</w:t>
            </w:r>
          </w:p>
        </w:tc>
      </w:tr>
      <w:tr w:rsidR="00B950EE" w14:paraId="6CA04B98" w14:textId="77777777">
        <w:trPr>
          <w:jc w:val="center"/>
        </w:trPr>
        <w:tc>
          <w:tcPr>
            <w:tcW w:w="2520" w:type="dxa"/>
            <w:vAlign w:val="center"/>
          </w:tcPr>
          <w:p w14:paraId="6139102B" w14:textId="77777777" w:rsidR="00B950EE" w:rsidRDefault="00000000" w:rsidP="00AC764A">
            <w:r>
              <w:t>Simplify oral regimen</w:t>
            </w:r>
          </w:p>
        </w:tc>
        <w:tc>
          <w:tcPr>
            <w:tcW w:w="2016" w:type="dxa"/>
            <w:vAlign w:val="center"/>
          </w:tcPr>
          <w:p w14:paraId="652E1DEE" w14:textId="77777777" w:rsidR="00B950EE" w:rsidRDefault="00000000" w:rsidP="00AC764A">
            <w:r>
              <w:t>$15–$55/month</w:t>
            </w:r>
          </w:p>
        </w:tc>
        <w:tc>
          <w:tcPr>
            <w:tcW w:w="2664" w:type="dxa"/>
            <w:vAlign w:val="center"/>
          </w:tcPr>
          <w:p w14:paraId="353F2B46" w14:textId="77777777" w:rsidR="00B950EE" w:rsidRDefault="00000000" w:rsidP="00AC764A">
            <w:r>
              <w:t>2 visits + phone follow-up</w:t>
            </w:r>
          </w:p>
        </w:tc>
        <w:tc>
          <w:tcPr>
            <w:tcW w:w="2520" w:type="dxa"/>
            <w:vAlign w:val="center"/>
          </w:tcPr>
          <w:p w14:paraId="536BE0EA" w14:textId="77777777" w:rsidR="00B950EE" w:rsidRDefault="00000000" w:rsidP="00AC764A">
            <w:r>
              <w:t>May not lower glucose enough</w:t>
            </w:r>
          </w:p>
        </w:tc>
      </w:tr>
      <w:tr w:rsidR="00B950EE" w14:paraId="713538F6" w14:textId="77777777">
        <w:trPr>
          <w:jc w:val="center"/>
        </w:trPr>
        <w:tc>
          <w:tcPr>
            <w:tcW w:w="2520" w:type="dxa"/>
            <w:shd w:val="clear" w:color="auto" w:fill="EEF3F6"/>
            <w:vAlign w:val="center"/>
          </w:tcPr>
          <w:p w14:paraId="5C80F736" w14:textId="77777777" w:rsidR="00B950EE" w:rsidRDefault="00000000" w:rsidP="00AC764A">
            <w:r>
              <w:t>Add newer weekly injectable</w:t>
            </w:r>
          </w:p>
        </w:tc>
        <w:tc>
          <w:tcPr>
            <w:tcW w:w="2016" w:type="dxa"/>
            <w:shd w:val="clear" w:color="auto" w:fill="EEF3F6"/>
            <w:vAlign w:val="center"/>
          </w:tcPr>
          <w:p w14:paraId="5A98A928" w14:textId="77777777" w:rsidR="00B950EE" w:rsidRDefault="00000000" w:rsidP="00AC764A">
            <w:r>
              <w:t>$90–$550/month</w:t>
            </w:r>
          </w:p>
        </w:tc>
        <w:tc>
          <w:tcPr>
            <w:tcW w:w="2664" w:type="dxa"/>
            <w:shd w:val="clear" w:color="auto" w:fill="EEF3F6"/>
            <w:vAlign w:val="center"/>
          </w:tcPr>
          <w:p w14:paraId="2D9E5BDE" w14:textId="77777777" w:rsidR="00B950EE" w:rsidRDefault="00000000" w:rsidP="00AC764A">
            <w:r>
              <w:t>Prior authorization + 3 contacts</w:t>
            </w:r>
          </w:p>
        </w:tc>
        <w:tc>
          <w:tcPr>
            <w:tcW w:w="2520" w:type="dxa"/>
            <w:shd w:val="clear" w:color="auto" w:fill="EEF3F6"/>
            <w:vAlign w:val="center"/>
          </w:tcPr>
          <w:p w14:paraId="2F37228D" w14:textId="77777777" w:rsidR="00B950EE" w:rsidRDefault="00000000" w:rsidP="00AC764A">
            <w:r>
              <w:t>Cost, tolerance, availability</w:t>
            </w:r>
          </w:p>
        </w:tc>
      </w:tr>
      <w:tr w:rsidR="00B950EE" w14:paraId="2C93C31B" w14:textId="77777777">
        <w:trPr>
          <w:jc w:val="center"/>
        </w:trPr>
        <w:tc>
          <w:tcPr>
            <w:tcW w:w="2520" w:type="dxa"/>
            <w:vAlign w:val="center"/>
          </w:tcPr>
          <w:p w14:paraId="21D728FC" w14:textId="77777777" w:rsidR="00B950EE" w:rsidRDefault="00000000" w:rsidP="00AC764A">
            <w:r>
              <w:t>Begin basal insulin</w:t>
            </w:r>
          </w:p>
        </w:tc>
        <w:tc>
          <w:tcPr>
            <w:tcW w:w="2016" w:type="dxa"/>
            <w:vAlign w:val="center"/>
          </w:tcPr>
          <w:p w14:paraId="564C0983" w14:textId="77777777" w:rsidR="00B950EE" w:rsidRDefault="00000000" w:rsidP="00AC764A">
            <w:r>
              <w:t>$35–$140/month</w:t>
            </w:r>
          </w:p>
        </w:tc>
        <w:tc>
          <w:tcPr>
            <w:tcW w:w="2664" w:type="dxa"/>
            <w:vAlign w:val="center"/>
          </w:tcPr>
          <w:p w14:paraId="3E15C8BF" w14:textId="77777777" w:rsidR="00B950EE" w:rsidRDefault="00000000" w:rsidP="00AC764A">
            <w:r>
              <w:t>Training + frequent dose review</w:t>
            </w:r>
          </w:p>
        </w:tc>
        <w:tc>
          <w:tcPr>
            <w:tcW w:w="2520" w:type="dxa"/>
            <w:vAlign w:val="center"/>
          </w:tcPr>
          <w:p w14:paraId="64C31F47" w14:textId="77777777" w:rsidR="00B950EE" w:rsidRDefault="00000000" w:rsidP="00AC764A">
            <w:r>
              <w:t>Low glucose; injection resistance</w:t>
            </w:r>
          </w:p>
        </w:tc>
      </w:tr>
      <w:tr w:rsidR="00B950EE" w14:paraId="08E6E2E6" w14:textId="77777777">
        <w:trPr>
          <w:jc w:val="center"/>
        </w:trPr>
        <w:tc>
          <w:tcPr>
            <w:tcW w:w="2520" w:type="dxa"/>
            <w:shd w:val="clear" w:color="auto" w:fill="EEF3F6"/>
            <w:vAlign w:val="center"/>
          </w:tcPr>
          <w:p w14:paraId="3BB0B442" w14:textId="77777777" w:rsidR="00B950EE" w:rsidRDefault="00000000" w:rsidP="00AC764A">
            <w:r>
              <w:t>Continue CGM for 90 days</w:t>
            </w:r>
          </w:p>
        </w:tc>
        <w:tc>
          <w:tcPr>
            <w:tcW w:w="2016" w:type="dxa"/>
            <w:shd w:val="clear" w:color="auto" w:fill="EEF3F6"/>
            <w:vAlign w:val="center"/>
          </w:tcPr>
          <w:p w14:paraId="05000C77" w14:textId="77777777" w:rsidR="00B950EE" w:rsidRDefault="00000000" w:rsidP="00AC764A">
            <w:r>
              <w:t>$0–$180/month</w:t>
            </w:r>
          </w:p>
        </w:tc>
        <w:tc>
          <w:tcPr>
            <w:tcW w:w="2664" w:type="dxa"/>
            <w:shd w:val="clear" w:color="auto" w:fill="EEF3F6"/>
            <w:vAlign w:val="center"/>
          </w:tcPr>
          <w:p w14:paraId="6DEAE574" w14:textId="77777777" w:rsidR="00B950EE" w:rsidRDefault="00000000" w:rsidP="00AC764A">
            <w:r>
              <w:t>Data review every 2–4 weeks</w:t>
            </w:r>
          </w:p>
        </w:tc>
        <w:tc>
          <w:tcPr>
            <w:tcW w:w="2520" w:type="dxa"/>
            <w:shd w:val="clear" w:color="auto" w:fill="EEF3F6"/>
            <w:vAlign w:val="center"/>
          </w:tcPr>
          <w:p w14:paraId="67718421" w14:textId="77777777" w:rsidR="00B950EE" w:rsidRDefault="00000000" w:rsidP="00AC764A">
            <w:r>
              <w:t>Coverage and sustained use</w:t>
            </w:r>
          </w:p>
        </w:tc>
      </w:tr>
      <w:tr w:rsidR="00B950EE" w14:paraId="20E58C7D" w14:textId="77777777">
        <w:trPr>
          <w:jc w:val="center"/>
        </w:trPr>
        <w:tc>
          <w:tcPr>
            <w:tcW w:w="2520" w:type="dxa"/>
            <w:vAlign w:val="center"/>
          </w:tcPr>
          <w:p w14:paraId="1C9B3D2A" w14:textId="77777777" w:rsidR="00B950EE" w:rsidRDefault="00000000" w:rsidP="00AC764A">
            <w:r>
              <w:t>Intensive lifestyle support</w:t>
            </w:r>
          </w:p>
        </w:tc>
        <w:tc>
          <w:tcPr>
            <w:tcW w:w="2016" w:type="dxa"/>
            <w:vAlign w:val="center"/>
          </w:tcPr>
          <w:p w14:paraId="0A864329" w14:textId="77777777" w:rsidR="00B950EE" w:rsidRDefault="00000000" w:rsidP="00AC764A">
            <w:r>
              <w:t>$0–$350 total</w:t>
            </w:r>
          </w:p>
        </w:tc>
        <w:tc>
          <w:tcPr>
            <w:tcW w:w="2664" w:type="dxa"/>
            <w:vAlign w:val="center"/>
          </w:tcPr>
          <w:p w14:paraId="5BCB39A2" w14:textId="77777777" w:rsidR="00B950EE" w:rsidRDefault="00000000" w:rsidP="00AC764A">
            <w:r>
              <w:t>Dietitian + educator + coaching</w:t>
            </w:r>
          </w:p>
        </w:tc>
        <w:tc>
          <w:tcPr>
            <w:tcW w:w="2520" w:type="dxa"/>
            <w:vAlign w:val="center"/>
          </w:tcPr>
          <w:p w14:paraId="1E6EEF78" w14:textId="77777777" w:rsidR="00B950EE" w:rsidRDefault="00000000" w:rsidP="00AC764A">
            <w:r>
              <w:t>Attendance and work schedule</w:t>
            </w:r>
          </w:p>
        </w:tc>
      </w:tr>
      <w:tr w:rsidR="00B950EE" w14:paraId="271CEBAA" w14:textId="77777777">
        <w:trPr>
          <w:jc w:val="center"/>
        </w:trPr>
        <w:tc>
          <w:tcPr>
            <w:tcW w:w="2520" w:type="dxa"/>
            <w:shd w:val="clear" w:color="auto" w:fill="EEF3F6"/>
            <w:vAlign w:val="center"/>
          </w:tcPr>
          <w:p w14:paraId="214B4C3D" w14:textId="77777777" w:rsidR="00B950EE" w:rsidRDefault="00000000" w:rsidP="00AC764A">
            <w:r>
              <w:t>Combined medication/technology plan</w:t>
            </w:r>
          </w:p>
        </w:tc>
        <w:tc>
          <w:tcPr>
            <w:tcW w:w="2016" w:type="dxa"/>
            <w:shd w:val="clear" w:color="auto" w:fill="EEF3F6"/>
            <w:vAlign w:val="center"/>
          </w:tcPr>
          <w:p w14:paraId="60B875CF" w14:textId="77777777" w:rsidR="00B950EE" w:rsidRDefault="00000000" w:rsidP="00AC764A">
            <w:r>
              <w:t>$125–$700/month</w:t>
            </w:r>
          </w:p>
        </w:tc>
        <w:tc>
          <w:tcPr>
            <w:tcW w:w="2664" w:type="dxa"/>
            <w:shd w:val="clear" w:color="auto" w:fill="EEF3F6"/>
            <w:vAlign w:val="center"/>
          </w:tcPr>
          <w:p w14:paraId="1F8C6223" w14:textId="77777777" w:rsidR="00B950EE" w:rsidRDefault="00000000" w:rsidP="00AC764A">
            <w:r>
              <w:t>Highest initial coordination</w:t>
            </w:r>
          </w:p>
        </w:tc>
        <w:tc>
          <w:tcPr>
            <w:tcW w:w="2520" w:type="dxa"/>
            <w:shd w:val="clear" w:color="auto" w:fill="EEF3F6"/>
            <w:vAlign w:val="center"/>
          </w:tcPr>
          <w:p w14:paraId="679DADAE" w14:textId="77777777" w:rsidR="00B950EE" w:rsidRDefault="00000000" w:rsidP="00AC764A">
            <w:r>
              <w:t>Complexity and abandonment</w:t>
            </w:r>
          </w:p>
        </w:tc>
      </w:tr>
    </w:tbl>
    <w:p w14:paraId="1B89B17A" w14:textId="77777777" w:rsidR="00B950EE" w:rsidRDefault="00B950EE" w:rsidP="00AC764A"/>
    <w:p w14:paraId="0C6A4B32" w14:textId="77777777" w:rsidR="00B950EE" w:rsidRDefault="00000000" w:rsidP="00AC764A">
      <w:r>
        <w:t>*Illustrative fictional estimates after insurance; actual costs vary widely by plan, eligibility, pharmacy, and product.</w:t>
      </w:r>
    </w:p>
    <w:p w14:paraId="64D387A4" w14:textId="77777777" w:rsidR="00B950EE" w:rsidRDefault="00000000" w:rsidP="00AC764A">
      <w:r>
        <w:br w:type="page"/>
      </w:r>
    </w:p>
    <w:p w14:paraId="22078D8D" w14:textId="77777777" w:rsidR="00B950EE" w:rsidRDefault="00000000" w:rsidP="00AC764A">
      <w:pPr>
        <w:pStyle w:val="Heading1"/>
      </w:pPr>
      <w:r>
        <w:lastRenderedPageBreak/>
        <w:t>The Patient’s Version of the Problem</w:t>
      </w:r>
    </w:p>
    <w:p w14:paraId="16CE0E13" w14:textId="77777777" w:rsidR="00B950EE" w:rsidRDefault="00000000" w:rsidP="00AC764A">
      <w:r>
        <w:t>When Park asked Reed what made the plan hardest, he did not begin with glucose. He described fatigue, shift changes, his mother’s appointments, and the fear that a new medication would create side effects he could not manage at work. He wanted to avoid dialysis and amputation, which he had seen in relatives, but those risks felt distant compared with a missed shift or a $400 pharmacy bill.</w:t>
      </w:r>
    </w:p>
    <w:p w14:paraId="79FEBD0D" w14:textId="77777777" w:rsidR="00B950EE" w:rsidRDefault="00000000" w:rsidP="00AC764A">
      <w:r>
        <w:t>Reed said he could walk after dinner on day shifts, but not safely near the plant at 2:00 a.m. The employee cafeteria posted nutrition information inconsistently. He sometimes kept food nearby to prevent low glucose, then ate it even when the reading was not low because he was hungry. He was willing to try another monitor but did not want coworkers to see alerts on his phone.</w:t>
      </w:r>
    </w:p>
    <w:p w14:paraId="3CA786DF" w14:textId="77777777" w:rsidR="00B950EE" w:rsidRDefault="00000000" w:rsidP="00AC764A">
      <w:r>
        <w:t>The financial counselor found that one medication would require a high copayment until Reed met his deductible. A manufacturer assistance program might lower the cost, but eligibility would have to be renewed and could change. The monitor might be covered because Reed had documented low readings, although the insurer could request evidence of frequent medication adjustment. In January, the deductible would reset, potentially changing which plan Reed could afford just as the team learned whether it worked.</w:t>
      </w:r>
    </w:p>
    <w:p w14:paraId="01EDE944" w14:textId="77777777" w:rsidR="00B950EE" w:rsidRDefault="00000000" w:rsidP="00AC764A">
      <w:pPr>
        <w:pStyle w:val="Heading1"/>
      </w:pPr>
      <w:r>
        <w:t>Capacity at Lakeside</w:t>
      </w:r>
    </w:p>
    <w:p w14:paraId="1F1A776C" w14:textId="77777777" w:rsidR="00B950EE" w:rsidRDefault="00000000" w:rsidP="00AC764A">
      <w:r>
        <w:t>Lakeside served 11,800 adults with diagnosed diabetes across seven clinics. Its care-management program prioritized patients with high A1c values, recent hospital use, pregnancy, kidney disease, or difficulty obtaining medication. The Northgate clinic had one educator shared with two locations and a pharmacist available three half-days per week. Demand for appointments exceeded capacity.</w:t>
      </w:r>
    </w:p>
    <w:p w14:paraId="55643A09" w14:textId="77777777" w:rsidR="00B950EE" w:rsidRDefault="00000000" w:rsidP="00AC764A">
      <w:r>
        <w:t>The care manager proposed weekly text check-ins and rapid medication review. The medical director questioned whether staff should devote that level of attention to one relatively stable patient when others had recently visited emergency departments. The chief financial officer noted that many coordination activities were poorly reimbursed, even if they prevented costly complications years later.</w:t>
      </w:r>
    </w:p>
    <w:p w14:paraId="011346E9" w14:textId="77777777" w:rsidR="00B950EE" w:rsidRDefault="00000000" w:rsidP="00AC764A">
      <w:pPr>
        <w:pStyle w:val="Heading2"/>
      </w:pPr>
      <w:r>
        <w:t>Exhibit 4. Lakeside Diabetes Program, Most Recent 12 Months</w:t>
      </w:r>
    </w:p>
    <w:tbl>
      <w:tblPr>
        <w:tblStyle w:val="TableGrid"/>
        <w:tblW w:w="0" w:type="auto"/>
        <w:jc w:val="center"/>
        <w:tblLook w:val="04A0" w:firstRow="1" w:lastRow="0" w:firstColumn="1" w:lastColumn="0" w:noHBand="0" w:noVBand="1"/>
      </w:tblPr>
      <w:tblGrid>
        <w:gridCol w:w="6768"/>
        <w:gridCol w:w="2880"/>
      </w:tblGrid>
      <w:tr w:rsidR="00B950EE" w14:paraId="7EC70579" w14:textId="77777777">
        <w:trPr>
          <w:jc w:val="center"/>
        </w:trPr>
        <w:tc>
          <w:tcPr>
            <w:tcW w:w="6768" w:type="dxa"/>
            <w:shd w:val="clear" w:color="auto" w:fill="284B63"/>
            <w:vAlign w:val="center"/>
          </w:tcPr>
          <w:p w14:paraId="5B9411BD" w14:textId="77777777" w:rsidR="00B950EE" w:rsidRDefault="00000000" w:rsidP="00AC764A">
            <w:r>
              <w:t>Program indicator</w:t>
            </w:r>
          </w:p>
        </w:tc>
        <w:tc>
          <w:tcPr>
            <w:tcW w:w="2880" w:type="dxa"/>
            <w:shd w:val="clear" w:color="auto" w:fill="284B63"/>
            <w:vAlign w:val="center"/>
          </w:tcPr>
          <w:p w14:paraId="5A79693C" w14:textId="77777777" w:rsidR="00B950EE" w:rsidRDefault="00000000" w:rsidP="00AC764A">
            <w:r>
              <w:t>Result</w:t>
            </w:r>
          </w:p>
        </w:tc>
      </w:tr>
      <w:tr w:rsidR="00B950EE" w14:paraId="28F57AB6" w14:textId="77777777">
        <w:trPr>
          <w:jc w:val="center"/>
        </w:trPr>
        <w:tc>
          <w:tcPr>
            <w:tcW w:w="6768" w:type="dxa"/>
            <w:vAlign w:val="center"/>
          </w:tcPr>
          <w:p w14:paraId="3429FBA1" w14:textId="77777777" w:rsidR="00B950EE" w:rsidRDefault="00000000" w:rsidP="00AC764A">
            <w:r>
              <w:t>Adults with diagnosed diabetes</w:t>
            </w:r>
          </w:p>
        </w:tc>
        <w:tc>
          <w:tcPr>
            <w:tcW w:w="2880" w:type="dxa"/>
            <w:vAlign w:val="center"/>
          </w:tcPr>
          <w:p w14:paraId="49A70EF4" w14:textId="77777777" w:rsidR="00B950EE" w:rsidRDefault="00000000" w:rsidP="00AC764A">
            <w:r>
              <w:t>11,800</w:t>
            </w:r>
          </w:p>
        </w:tc>
      </w:tr>
      <w:tr w:rsidR="00B950EE" w14:paraId="1AC5B664" w14:textId="77777777">
        <w:trPr>
          <w:jc w:val="center"/>
        </w:trPr>
        <w:tc>
          <w:tcPr>
            <w:tcW w:w="6768" w:type="dxa"/>
            <w:shd w:val="clear" w:color="auto" w:fill="EEF3F6"/>
            <w:vAlign w:val="center"/>
          </w:tcPr>
          <w:p w14:paraId="6C716A50" w14:textId="77777777" w:rsidR="00B950EE" w:rsidRDefault="00000000" w:rsidP="00AC764A">
            <w:r>
              <w:t>Patients with most recent A1c ≥9%</w:t>
            </w:r>
          </w:p>
        </w:tc>
        <w:tc>
          <w:tcPr>
            <w:tcW w:w="2880" w:type="dxa"/>
            <w:shd w:val="clear" w:color="auto" w:fill="EEF3F6"/>
            <w:vAlign w:val="center"/>
          </w:tcPr>
          <w:p w14:paraId="560862DE" w14:textId="77777777" w:rsidR="00B950EE" w:rsidRDefault="00000000" w:rsidP="00AC764A">
            <w:r>
              <w:t>2,140</w:t>
            </w:r>
          </w:p>
        </w:tc>
      </w:tr>
      <w:tr w:rsidR="00B950EE" w14:paraId="62D9B85D" w14:textId="77777777">
        <w:trPr>
          <w:jc w:val="center"/>
        </w:trPr>
        <w:tc>
          <w:tcPr>
            <w:tcW w:w="6768" w:type="dxa"/>
            <w:vAlign w:val="center"/>
          </w:tcPr>
          <w:p w14:paraId="2DF2E8B4" w14:textId="77777777" w:rsidR="00B950EE" w:rsidRDefault="00000000" w:rsidP="00AC764A">
            <w:r>
              <w:t>Patients without an A1c test in 12 months</w:t>
            </w:r>
          </w:p>
        </w:tc>
        <w:tc>
          <w:tcPr>
            <w:tcW w:w="2880" w:type="dxa"/>
            <w:vAlign w:val="center"/>
          </w:tcPr>
          <w:p w14:paraId="5AD61B14" w14:textId="77777777" w:rsidR="00B950EE" w:rsidRDefault="00000000" w:rsidP="00AC764A">
            <w:r>
              <w:t>1,330</w:t>
            </w:r>
          </w:p>
        </w:tc>
      </w:tr>
      <w:tr w:rsidR="00B950EE" w14:paraId="6DB39820" w14:textId="77777777">
        <w:trPr>
          <w:jc w:val="center"/>
        </w:trPr>
        <w:tc>
          <w:tcPr>
            <w:tcW w:w="6768" w:type="dxa"/>
            <w:shd w:val="clear" w:color="auto" w:fill="EEF3F6"/>
            <w:vAlign w:val="center"/>
          </w:tcPr>
          <w:p w14:paraId="5582A96A" w14:textId="77777777" w:rsidR="00B950EE" w:rsidRDefault="00000000" w:rsidP="00AC764A">
            <w:r>
              <w:t>Patients overdue for retinal screening</w:t>
            </w:r>
          </w:p>
        </w:tc>
        <w:tc>
          <w:tcPr>
            <w:tcW w:w="2880" w:type="dxa"/>
            <w:shd w:val="clear" w:color="auto" w:fill="EEF3F6"/>
            <w:vAlign w:val="center"/>
          </w:tcPr>
          <w:p w14:paraId="10AA3B5A" w14:textId="77777777" w:rsidR="00B950EE" w:rsidRDefault="00000000" w:rsidP="00AC764A">
            <w:r>
              <w:t>3,420</w:t>
            </w:r>
          </w:p>
        </w:tc>
      </w:tr>
      <w:tr w:rsidR="00B950EE" w14:paraId="5A484466" w14:textId="77777777">
        <w:trPr>
          <w:jc w:val="center"/>
        </w:trPr>
        <w:tc>
          <w:tcPr>
            <w:tcW w:w="6768" w:type="dxa"/>
            <w:vAlign w:val="center"/>
          </w:tcPr>
          <w:p w14:paraId="1DDFF8D1" w14:textId="77777777" w:rsidR="00B950EE" w:rsidRDefault="00000000" w:rsidP="00AC764A">
            <w:r>
              <w:t>Diabetes-related emergency visits</w:t>
            </w:r>
          </w:p>
        </w:tc>
        <w:tc>
          <w:tcPr>
            <w:tcW w:w="2880" w:type="dxa"/>
            <w:vAlign w:val="center"/>
          </w:tcPr>
          <w:p w14:paraId="345920B3" w14:textId="77777777" w:rsidR="00B950EE" w:rsidRDefault="00000000" w:rsidP="00AC764A">
            <w:r>
              <w:t>684</w:t>
            </w:r>
          </w:p>
        </w:tc>
      </w:tr>
      <w:tr w:rsidR="00B950EE" w14:paraId="63EEC506" w14:textId="77777777">
        <w:trPr>
          <w:jc w:val="center"/>
        </w:trPr>
        <w:tc>
          <w:tcPr>
            <w:tcW w:w="6768" w:type="dxa"/>
            <w:shd w:val="clear" w:color="auto" w:fill="EEF3F6"/>
            <w:vAlign w:val="center"/>
          </w:tcPr>
          <w:p w14:paraId="2174E0F0" w14:textId="77777777" w:rsidR="00B950EE" w:rsidRDefault="00000000" w:rsidP="00AC764A">
            <w:r>
              <w:t>Completed educator appointments</w:t>
            </w:r>
          </w:p>
        </w:tc>
        <w:tc>
          <w:tcPr>
            <w:tcW w:w="2880" w:type="dxa"/>
            <w:shd w:val="clear" w:color="auto" w:fill="EEF3F6"/>
            <w:vAlign w:val="center"/>
          </w:tcPr>
          <w:p w14:paraId="1BE60F89" w14:textId="77777777" w:rsidR="00B950EE" w:rsidRDefault="00000000" w:rsidP="00AC764A">
            <w:r>
              <w:t>3,760</w:t>
            </w:r>
          </w:p>
        </w:tc>
      </w:tr>
      <w:tr w:rsidR="00B950EE" w14:paraId="3E841879" w14:textId="77777777">
        <w:trPr>
          <w:jc w:val="center"/>
        </w:trPr>
        <w:tc>
          <w:tcPr>
            <w:tcW w:w="6768" w:type="dxa"/>
            <w:vAlign w:val="center"/>
          </w:tcPr>
          <w:p w14:paraId="5A09513E" w14:textId="77777777" w:rsidR="00B950EE" w:rsidRDefault="00000000" w:rsidP="00AC764A">
            <w:r>
              <w:t>Educator no-show / late-cancellation rate</w:t>
            </w:r>
          </w:p>
        </w:tc>
        <w:tc>
          <w:tcPr>
            <w:tcW w:w="2880" w:type="dxa"/>
            <w:vAlign w:val="center"/>
          </w:tcPr>
          <w:p w14:paraId="327E9E1A" w14:textId="77777777" w:rsidR="00B950EE" w:rsidRDefault="00000000" w:rsidP="00AC764A">
            <w:r>
              <w:t>24%</w:t>
            </w:r>
          </w:p>
        </w:tc>
      </w:tr>
      <w:tr w:rsidR="00B950EE" w14:paraId="3F146B81" w14:textId="77777777">
        <w:trPr>
          <w:jc w:val="center"/>
        </w:trPr>
        <w:tc>
          <w:tcPr>
            <w:tcW w:w="6768" w:type="dxa"/>
            <w:shd w:val="clear" w:color="auto" w:fill="EEF3F6"/>
            <w:vAlign w:val="center"/>
          </w:tcPr>
          <w:p w14:paraId="6CABA94E" w14:textId="77777777" w:rsidR="00B950EE" w:rsidRDefault="00000000" w:rsidP="00AC764A">
            <w:r>
              <w:t>Average pharmacist caseload</w:t>
            </w:r>
          </w:p>
        </w:tc>
        <w:tc>
          <w:tcPr>
            <w:tcW w:w="2880" w:type="dxa"/>
            <w:shd w:val="clear" w:color="auto" w:fill="EEF3F6"/>
            <w:vAlign w:val="center"/>
          </w:tcPr>
          <w:p w14:paraId="108AFCE4" w14:textId="77777777" w:rsidR="00B950EE" w:rsidRDefault="00000000" w:rsidP="00AC764A">
            <w:r>
              <w:t>286 active patients</w:t>
            </w:r>
          </w:p>
        </w:tc>
      </w:tr>
      <w:tr w:rsidR="00B950EE" w14:paraId="7FAF425D" w14:textId="77777777">
        <w:trPr>
          <w:jc w:val="center"/>
        </w:trPr>
        <w:tc>
          <w:tcPr>
            <w:tcW w:w="6768" w:type="dxa"/>
            <w:vAlign w:val="center"/>
          </w:tcPr>
          <w:p w14:paraId="0D6D01F1" w14:textId="77777777" w:rsidR="00B950EE" w:rsidRDefault="00000000" w:rsidP="00AC764A">
            <w:r>
              <w:t>Unreimbursed care-management expense</w:t>
            </w:r>
          </w:p>
        </w:tc>
        <w:tc>
          <w:tcPr>
            <w:tcW w:w="2880" w:type="dxa"/>
            <w:vAlign w:val="center"/>
          </w:tcPr>
          <w:p w14:paraId="29F0385E" w14:textId="77777777" w:rsidR="00B950EE" w:rsidRDefault="00000000" w:rsidP="00AC764A">
            <w:r>
              <w:t>$1.18 million</w:t>
            </w:r>
          </w:p>
        </w:tc>
      </w:tr>
    </w:tbl>
    <w:p w14:paraId="0191F049" w14:textId="77777777" w:rsidR="00B950EE" w:rsidRDefault="00B950EE" w:rsidP="00AC764A"/>
    <w:p w14:paraId="56BBD5CB" w14:textId="77777777" w:rsidR="00B950EE" w:rsidRDefault="00000000" w:rsidP="00AC764A">
      <w:r>
        <w:t>The clinic’s quality dashboard rewarded improved A1c control and completion of selected screenings, but it did not fully capture severe low-glucose episodes avoided, treatment burden, financial stress, or whether improvement would persist. A medication plan that produced a lower A1c but caused repeated low readings or financial hardship could look successful in one report and harmful in another.</w:t>
      </w:r>
    </w:p>
    <w:p w14:paraId="7F05AC34" w14:textId="77777777" w:rsidR="00B950EE" w:rsidRDefault="00000000" w:rsidP="00AC764A">
      <w:pPr>
        <w:pStyle w:val="Heading1"/>
      </w:pPr>
      <w:r>
        <w:t>Different Interpretations</w:t>
      </w:r>
    </w:p>
    <w:p w14:paraId="17AC3BEE" w14:textId="77777777" w:rsidR="00B950EE" w:rsidRDefault="00000000" w:rsidP="00AC764A">
      <w:r>
        <w:t xml:space="preserve">Each member of the care team framed Reed’s case differently. The pharmacist favored removing the medication associated with low readings and substituting a drug with lower hypoglycemia risk, assuming coverage could be arranged. The educator wanted to begin with a plan Reed could execute across both shift </w:t>
      </w:r>
      <w:r>
        <w:lastRenderedPageBreak/>
        <w:t>schedules. The nurse care manager argued that the team needed more frequent observations before making another major change. Park worried that waiting for better information would prolong exposure to high glucose.</w:t>
      </w:r>
    </w:p>
    <w:p w14:paraId="4583E8CF" w14:textId="77777777" w:rsidR="00B950EE" w:rsidRDefault="00000000" w:rsidP="00AC764A">
      <w:r>
        <w:t>Reed’s priorities did not fit neatly into any proposal. He wanted more energy, fewer interruptions at work, protection from long-term complications, and a monthly cost he could predict. He was willing to make changes, but not all at once. The team could simplify the plan, intensify it, or stage it—but each sequence would affect what they learned about the causes of improvement or failure.</w:t>
      </w:r>
    </w:p>
    <w:p w14:paraId="708734BF" w14:textId="77777777" w:rsidR="00B950EE" w:rsidRDefault="00000000" w:rsidP="00AC764A">
      <w:r>
        <w:br w:type="page"/>
      </w:r>
    </w:p>
    <w:p w14:paraId="0DFF84A4" w14:textId="77777777" w:rsidR="00B950EE" w:rsidRDefault="00000000" w:rsidP="00AC764A">
      <w:pPr>
        <w:pStyle w:val="Heading1"/>
      </w:pPr>
      <w:r>
        <w:lastRenderedPageBreak/>
        <w:t>The Ninety-Day Choice</w:t>
      </w:r>
    </w:p>
    <w:p w14:paraId="1E9047CB" w14:textId="77777777" w:rsidR="00B950EE" w:rsidRDefault="00000000" w:rsidP="00AC764A">
      <w:r>
        <w:t>The case conference narrowed the discussion to three broad approaches.</w:t>
      </w:r>
    </w:p>
    <w:p w14:paraId="201F03C6" w14:textId="77777777" w:rsidR="00B950EE" w:rsidRDefault="00000000" w:rsidP="00AC764A">
      <w:r>
        <w:t>Approach A: Intensify now. The team would replace the current second medication, seek approval for a newer weekly injectable, continue continuous monitoring, and schedule frequent follow-up. The plan offered the greatest chance of a rapid improvement but also the highest cost, coordination burden, and risk that side effects or authorization delays would cause Reed to abandon it.</w:t>
      </w:r>
    </w:p>
    <w:p w14:paraId="60E09247" w14:textId="77777777" w:rsidR="00B950EE" w:rsidRDefault="00000000" w:rsidP="00AC764A">
      <w:r>
        <w:t>Approach B: Simplify and stabilize. The team would design a lower-cost regimen around Reed’s rotating shifts, reduce the risk of low glucose, focus on meal timing and feasible activity, and reassess after three months. The plan might be easier to sustain but could leave glucose elevated while the disease progressed.</w:t>
      </w:r>
    </w:p>
    <w:p w14:paraId="22589559" w14:textId="77777777" w:rsidR="00B950EE" w:rsidRDefault="00000000" w:rsidP="00AC764A">
      <w:r>
        <w:t>Approach C: Learn before committing. The team would use another monitor period, structured meal and medication logs, and short remote contacts to identify patterns before selecting a major therapy change. The approach could reveal what was driving the variability, but the additional information might be incomplete, altered by observation, or arrive too late to justify the delay.</w:t>
      </w:r>
    </w:p>
    <w:p w14:paraId="3B662BDB" w14:textId="77777777" w:rsidR="00B950EE" w:rsidRDefault="00000000" w:rsidP="00AC764A">
      <w:pPr>
        <w:pStyle w:val="Heading2"/>
      </w:pPr>
      <w:r>
        <w:t>Exhibit 5. Ninety-Day Planning Scenarios</w:t>
      </w:r>
    </w:p>
    <w:tbl>
      <w:tblPr>
        <w:tblStyle w:val="TableGrid"/>
        <w:tblW w:w="0" w:type="auto"/>
        <w:jc w:val="center"/>
        <w:tblLook w:val="04A0" w:firstRow="1" w:lastRow="0" w:firstColumn="1" w:lastColumn="0" w:noHBand="0" w:noVBand="1"/>
      </w:tblPr>
      <w:tblGrid>
        <w:gridCol w:w="3168"/>
        <w:gridCol w:w="1656"/>
        <w:gridCol w:w="1800"/>
        <w:gridCol w:w="1440"/>
        <w:gridCol w:w="1944"/>
      </w:tblGrid>
      <w:tr w:rsidR="00B950EE" w14:paraId="6845C87E" w14:textId="77777777">
        <w:trPr>
          <w:jc w:val="center"/>
        </w:trPr>
        <w:tc>
          <w:tcPr>
            <w:tcW w:w="3168" w:type="dxa"/>
            <w:shd w:val="clear" w:color="auto" w:fill="284B63"/>
            <w:vAlign w:val="center"/>
          </w:tcPr>
          <w:p w14:paraId="59AD570F" w14:textId="77777777" w:rsidR="00B950EE" w:rsidRDefault="00000000" w:rsidP="00AC764A">
            <w:r>
              <w:t>Scenario</w:t>
            </w:r>
          </w:p>
        </w:tc>
        <w:tc>
          <w:tcPr>
            <w:tcW w:w="1656" w:type="dxa"/>
            <w:shd w:val="clear" w:color="auto" w:fill="284B63"/>
            <w:vAlign w:val="center"/>
          </w:tcPr>
          <w:p w14:paraId="69F1C6DE" w14:textId="77777777" w:rsidR="00B950EE" w:rsidRDefault="00000000" w:rsidP="00AC764A">
            <w:r>
              <w:t>A1c at follow-up</w:t>
            </w:r>
          </w:p>
        </w:tc>
        <w:tc>
          <w:tcPr>
            <w:tcW w:w="1800" w:type="dxa"/>
            <w:shd w:val="clear" w:color="auto" w:fill="284B63"/>
            <w:vAlign w:val="center"/>
          </w:tcPr>
          <w:p w14:paraId="7B672C7B" w14:textId="77777777" w:rsidR="00B950EE" w:rsidRDefault="00000000" w:rsidP="00AC764A">
            <w:r>
              <w:t>Low-glucose risk</w:t>
            </w:r>
          </w:p>
        </w:tc>
        <w:tc>
          <w:tcPr>
            <w:tcW w:w="1440" w:type="dxa"/>
            <w:shd w:val="clear" w:color="auto" w:fill="284B63"/>
            <w:vAlign w:val="center"/>
          </w:tcPr>
          <w:p w14:paraId="402251DC" w14:textId="77777777" w:rsidR="00B950EE" w:rsidRDefault="00000000" w:rsidP="00AC764A">
            <w:r>
              <w:t>Patient burden</w:t>
            </w:r>
          </w:p>
        </w:tc>
        <w:tc>
          <w:tcPr>
            <w:tcW w:w="1944" w:type="dxa"/>
            <w:shd w:val="clear" w:color="auto" w:fill="284B63"/>
            <w:vAlign w:val="center"/>
          </w:tcPr>
          <w:p w14:paraId="7FAB4367" w14:textId="77777777" w:rsidR="00B950EE" w:rsidRDefault="00000000" w:rsidP="00AC764A">
            <w:r>
              <w:t>Estimated 90-day patient cost</w:t>
            </w:r>
          </w:p>
        </w:tc>
      </w:tr>
      <w:tr w:rsidR="00B950EE" w14:paraId="75A661A2" w14:textId="77777777">
        <w:trPr>
          <w:jc w:val="center"/>
        </w:trPr>
        <w:tc>
          <w:tcPr>
            <w:tcW w:w="3168" w:type="dxa"/>
            <w:vAlign w:val="center"/>
          </w:tcPr>
          <w:p w14:paraId="58297033" w14:textId="77777777" w:rsidR="00B950EE" w:rsidRDefault="00000000" w:rsidP="00AC764A">
            <w:r>
              <w:t>Strong response / sustained use</w:t>
            </w:r>
          </w:p>
        </w:tc>
        <w:tc>
          <w:tcPr>
            <w:tcW w:w="1656" w:type="dxa"/>
            <w:vAlign w:val="center"/>
          </w:tcPr>
          <w:p w14:paraId="48C239FB" w14:textId="77777777" w:rsidR="00B950EE" w:rsidRDefault="00000000" w:rsidP="00AC764A">
            <w:r>
              <w:t>7.4–8.0%</w:t>
            </w:r>
          </w:p>
        </w:tc>
        <w:tc>
          <w:tcPr>
            <w:tcW w:w="1800" w:type="dxa"/>
            <w:vAlign w:val="center"/>
          </w:tcPr>
          <w:p w14:paraId="5E3729C6" w14:textId="77777777" w:rsidR="00B950EE" w:rsidRDefault="00000000" w:rsidP="00AC764A">
            <w:r>
              <w:t>Low to moderate</w:t>
            </w:r>
          </w:p>
        </w:tc>
        <w:tc>
          <w:tcPr>
            <w:tcW w:w="1440" w:type="dxa"/>
            <w:vAlign w:val="center"/>
          </w:tcPr>
          <w:p w14:paraId="054A77BC" w14:textId="77777777" w:rsidR="00B950EE" w:rsidRDefault="00000000" w:rsidP="00AC764A">
            <w:r>
              <w:t>Moderate</w:t>
            </w:r>
          </w:p>
        </w:tc>
        <w:tc>
          <w:tcPr>
            <w:tcW w:w="1944" w:type="dxa"/>
            <w:vAlign w:val="center"/>
          </w:tcPr>
          <w:p w14:paraId="14E022DE" w14:textId="77777777" w:rsidR="00B950EE" w:rsidRDefault="00000000" w:rsidP="00AC764A">
            <w:r>
              <w:t xml:space="preserve"> $180–$1,600</w:t>
            </w:r>
          </w:p>
        </w:tc>
      </w:tr>
      <w:tr w:rsidR="00B950EE" w14:paraId="02D62496" w14:textId="77777777">
        <w:trPr>
          <w:jc w:val="center"/>
        </w:trPr>
        <w:tc>
          <w:tcPr>
            <w:tcW w:w="3168" w:type="dxa"/>
            <w:shd w:val="clear" w:color="auto" w:fill="EEF3F6"/>
            <w:vAlign w:val="center"/>
          </w:tcPr>
          <w:p w14:paraId="0AFC6C88" w14:textId="77777777" w:rsidR="00B950EE" w:rsidRDefault="00000000" w:rsidP="00AC764A">
            <w:r>
              <w:t>Partial response</w:t>
            </w:r>
          </w:p>
        </w:tc>
        <w:tc>
          <w:tcPr>
            <w:tcW w:w="1656" w:type="dxa"/>
            <w:shd w:val="clear" w:color="auto" w:fill="EEF3F6"/>
            <w:vAlign w:val="center"/>
          </w:tcPr>
          <w:p w14:paraId="10DC4772" w14:textId="77777777" w:rsidR="00B950EE" w:rsidRDefault="00000000" w:rsidP="00AC764A">
            <w:r>
              <w:t>8.1–8.7%</w:t>
            </w:r>
          </w:p>
        </w:tc>
        <w:tc>
          <w:tcPr>
            <w:tcW w:w="1800" w:type="dxa"/>
            <w:shd w:val="clear" w:color="auto" w:fill="EEF3F6"/>
            <w:vAlign w:val="center"/>
          </w:tcPr>
          <w:p w14:paraId="6DAD9011" w14:textId="77777777" w:rsidR="00B950EE" w:rsidRDefault="00000000" w:rsidP="00AC764A">
            <w:r>
              <w:t>Varies by regimen</w:t>
            </w:r>
          </w:p>
        </w:tc>
        <w:tc>
          <w:tcPr>
            <w:tcW w:w="1440" w:type="dxa"/>
            <w:shd w:val="clear" w:color="auto" w:fill="EEF3F6"/>
            <w:vAlign w:val="center"/>
          </w:tcPr>
          <w:p w14:paraId="367CCA19" w14:textId="77777777" w:rsidR="00B950EE" w:rsidRDefault="00000000" w:rsidP="00AC764A">
            <w:r>
              <w:t>Moderate to high</w:t>
            </w:r>
          </w:p>
        </w:tc>
        <w:tc>
          <w:tcPr>
            <w:tcW w:w="1944" w:type="dxa"/>
            <w:shd w:val="clear" w:color="auto" w:fill="EEF3F6"/>
            <w:vAlign w:val="center"/>
          </w:tcPr>
          <w:p w14:paraId="6C61E68A" w14:textId="77777777" w:rsidR="00B950EE" w:rsidRDefault="00000000" w:rsidP="00AC764A">
            <w:r>
              <w:t>$120–$1,500</w:t>
            </w:r>
          </w:p>
        </w:tc>
      </w:tr>
      <w:tr w:rsidR="00B950EE" w14:paraId="045DDFF3" w14:textId="77777777">
        <w:trPr>
          <w:jc w:val="center"/>
        </w:trPr>
        <w:tc>
          <w:tcPr>
            <w:tcW w:w="3168" w:type="dxa"/>
            <w:vAlign w:val="center"/>
          </w:tcPr>
          <w:p w14:paraId="6C464A0F" w14:textId="77777777" w:rsidR="00B950EE" w:rsidRDefault="00000000" w:rsidP="00AC764A">
            <w:r>
              <w:t>Side effects or nonadherence</w:t>
            </w:r>
          </w:p>
        </w:tc>
        <w:tc>
          <w:tcPr>
            <w:tcW w:w="1656" w:type="dxa"/>
            <w:vAlign w:val="center"/>
          </w:tcPr>
          <w:p w14:paraId="5F940ACD" w14:textId="77777777" w:rsidR="00B950EE" w:rsidRDefault="00000000" w:rsidP="00AC764A">
            <w:r>
              <w:t>8.8–9.5%</w:t>
            </w:r>
          </w:p>
        </w:tc>
        <w:tc>
          <w:tcPr>
            <w:tcW w:w="1800" w:type="dxa"/>
            <w:vAlign w:val="center"/>
          </w:tcPr>
          <w:p w14:paraId="4D6F33DD" w14:textId="77777777" w:rsidR="00B950EE" w:rsidRDefault="00000000" w:rsidP="00AC764A">
            <w:r>
              <w:t>Uncertain</w:t>
            </w:r>
          </w:p>
        </w:tc>
        <w:tc>
          <w:tcPr>
            <w:tcW w:w="1440" w:type="dxa"/>
            <w:vAlign w:val="center"/>
          </w:tcPr>
          <w:p w14:paraId="3E257383" w14:textId="77777777" w:rsidR="00B950EE" w:rsidRDefault="00000000" w:rsidP="00AC764A">
            <w:r>
              <w:t>High</w:t>
            </w:r>
          </w:p>
        </w:tc>
        <w:tc>
          <w:tcPr>
            <w:tcW w:w="1944" w:type="dxa"/>
            <w:vAlign w:val="center"/>
          </w:tcPr>
          <w:p w14:paraId="3DCD3458" w14:textId="77777777" w:rsidR="00B950EE" w:rsidRDefault="00000000" w:rsidP="00AC764A">
            <w:r>
              <w:t>$75–$900</w:t>
            </w:r>
          </w:p>
        </w:tc>
      </w:tr>
      <w:tr w:rsidR="00B950EE" w14:paraId="78C394E2" w14:textId="77777777">
        <w:trPr>
          <w:jc w:val="center"/>
        </w:trPr>
        <w:tc>
          <w:tcPr>
            <w:tcW w:w="3168" w:type="dxa"/>
            <w:shd w:val="clear" w:color="auto" w:fill="EEF3F6"/>
            <w:vAlign w:val="center"/>
          </w:tcPr>
          <w:p w14:paraId="206527CC" w14:textId="77777777" w:rsidR="00B950EE" w:rsidRDefault="00000000" w:rsidP="00AC764A">
            <w:r>
              <w:t>Coverage interruption</w:t>
            </w:r>
          </w:p>
        </w:tc>
        <w:tc>
          <w:tcPr>
            <w:tcW w:w="1656" w:type="dxa"/>
            <w:shd w:val="clear" w:color="auto" w:fill="EEF3F6"/>
            <w:vAlign w:val="center"/>
          </w:tcPr>
          <w:p w14:paraId="63B491A0" w14:textId="77777777" w:rsidR="00B950EE" w:rsidRDefault="00000000" w:rsidP="00AC764A">
            <w:r>
              <w:t>8.6–9.4%</w:t>
            </w:r>
          </w:p>
        </w:tc>
        <w:tc>
          <w:tcPr>
            <w:tcW w:w="1800" w:type="dxa"/>
            <w:shd w:val="clear" w:color="auto" w:fill="EEF3F6"/>
            <w:vAlign w:val="center"/>
          </w:tcPr>
          <w:p w14:paraId="2143A322" w14:textId="77777777" w:rsidR="00B950EE" w:rsidRDefault="00000000" w:rsidP="00AC764A">
            <w:r>
              <w:t>Depends on fallback</w:t>
            </w:r>
          </w:p>
        </w:tc>
        <w:tc>
          <w:tcPr>
            <w:tcW w:w="1440" w:type="dxa"/>
            <w:shd w:val="clear" w:color="auto" w:fill="EEF3F6"/>
            <w:vAlign w:val="center"/>
          </w:tcPr>
          <w:p w14:paraId="3AD61A6E" w14:textId="77777777" w:rsidR="00B950EE" w:rsidRDefault="00000000" w:rsidP="00AC764A">
            <w:r>
              <w:t>High</w:t>
            </w:r>
          </w:p>
        </w:tc>
        <w:tc>
          <w:tcPr>
            <w:tcW w:w="1944" w:type="dxa"/>
            <w:shd w:val="clear" w:color="auto" w:fill="EEF3F6"/>
            <w:vAlign w:val="center"/>
          </w:tcPr>
          <w:p w14:paraId="42C0C7F3" w14:textId="77777777" w:rsidR="00B950EE" w:rsidRDefault="00000000" w:rsidP="00AC764A">
            <w:r>
              <w:t>$100–$1,200</w:t>
            </w:r>
          </w:p>
        </w:tc>
      </w:tr>
      <w:tr w:rsidR="00B950EE" w14:paraId="681A01DE" w14:textId="77777777">
        <w:trPr>
          <w:jc w:val="center"/>
        </w:trPr>
        <w:tc>
          <w:tcPr>
            <w:tcW w:w="3168" w:type="dxa"/>
            <w:vAlign w:val="center"/>
          </w:tcPr>
          <w:p w14:paraId="0233999E" w14:textId="77777777" w:rsidR="00B950EE" w:rsidRDefault="00000000" w:rsidP="00AC764A">
            <w:r>
              <w:t>Improved routine without costly therapy</w:t>
            </w:r>
          </w:p>
        </w:tc>
        <w:tc>
          <w:tcPr>
            <w:tcW w:w="1656" w:type="dxa"/>
            <w:vAlign w:val="center"/>
          </w:tcPr>
          <w:p w14:paraId="1098EB16" w14:textId="77777777" w:rsidR="00B950EE" w:rsidRDefault="00000000" w:rsidP="00AC764A">
            <w:r>
              <w:t>7.9–8.5%</w:t>
            </w:r>
          </w:p>
        </w:tc>
        <w:tc>
          <w:tcPr>
            <w:tcW w:w="1800" w:type="dxa"/>
            <w:vAlign w:val="center"/>
          </w:tcPr>
          <w:p w14:paraId="557F76AC" w14:textId="77777777" w:rsidR="00B950EE" w:rsidRDefault="00000000" w:rsidP="00AC764A">
            <w:r>
              <w:t>Low</w:t>
            </w:r>
          </w:p>
        </w:tc>
        <w:tc>
          <w:tcPr>
            <w:tcW w:w="1440" w:type="dxa"/>
            <w:vAlign w:val="center"/>
          </w:tcPr>
          <w:p w14:paraId="15F88080" w14:textId="77777777" w:rsidR="00B950EE" w:rsidRDefault="00000000" w:rsidP="00AC764A">
            <w:r>
              <w:t>Moderate</w:t>
            </w:r>
          </w:p>
        </w:tc>
        <w:tc>
          <w:tcPr>
            <w:tcW w:w="1944" w:type="dxa"/>
            <w:vAlign w:val="center"/>
          </w:tcPr>
          <w:p w14:paraId="79666412" w14:textId="77777777" w:rsidR="00B950EE" w:rsidRDefault="00000000" w:rsidP="00AC764A">
            <w:r>
              <w:t>$45–$400</w:t>
            </w:r>
          </w:p>
        </w:tc>
      </w:tr>
    </w:tbl>
    <w:p w14:paraId="48C6A140" w14:textId="77777777" w:rsidR="00B950EE" w:rsidRDefault="00B950EE" w:rsidP="00AC764A"/>
    <w:p w14:paraId="0724FAE8" w14:textId="77777777" w:rsidR="00B950EE" w:rsidRDefault="00000000" w:rsidP="00AC764A">
      <w:r>
        <w:t>The ranges were planning estimates, not clinical forecasts. They combined assumptions about biological response, medication access, meal patterns, activity, adherence, and the quality of the measurements. The same observed result could have several explanations. A lower A1c might reflect the drug, a temporary change in behavior, fewer night shifts, or all three. A disappointing result might mean the treatment was ineffective—or that it was never consistently implemented.</w:t>
      </w:r>
    </w:p>
    <w:p w14:paraId="30BA43EA" w14:textId="77777777" w:rsidR="00B950EE" w:rsidRDefault="00000000" w:rsidP="00AC764A">
      <w:pPr>
        <w:pStyle w:val="Heading1"/>
      </w:pPr>
      <w:r>
        <w:t>Before the Patient Returned</w:t>
      </w:r>
    </w:p>
    <w:p w14:paraId="74CC333C" w14:textId="77777777" w:rsidR="00B950EE" w:rsidRDefault="00000000" w:rsidP="00AC764A">
      <w:r>
        <w:t>The team had twenty minutes before Reed returned to the conference room. Park needed to propose a plan, decide what information to collect, determine how often the clinic would intervene, and explain the tradeoffs in a way Reed could use. She also needed to decide what would trigger a change before the ninety-day visit: repeated low readings, persistent highs, side effects, missed doses, inability to pay, or simply Reed’s judgment that the plan did not fit his life.</w:t>
      </w:r>
    </w:p>
    <w:p w14:paraId="58D66CB9" w14:textId="77777777" w:rsidR="00B950EE" w:rsidRDefault="00000000" w:rsidP="00AC764A">
      <w:r>
        <w:t>Looking at the monitor graph, Park wondered whether the most important choice concerned the medication, the monitoring technology, Reed’s daily routine, the intensity of follow-up, or the sequence in which these were introduced. The case did not lack possible actions. It lacked confidence about how each action would interact with a patient whose physiology, schedule, resources, and willingness could all change before the next laboratory result.</w:t>
      </w:r>
    </w:p>
    <w:p w14:paraId="550E7E72" w14:textId="77777777" w:rsidR="005A4F73" w:rsidRDefault="005A4F73" w:rsidP="005A4F73">
      <w:pPr>
        <w:pStyle w:val="Heading1"/>
      </w:pPr>
      <w:r>
        <w:lastRenderedPageBreak/>
        <w:t>Framing questions</w:t>
      </w:r>
    </w:p>
    <w:p w14:paraId="2815B867" w14:textId="77777777" w:rsidR="005A4F73" w:rsidRDefault="005A4F73" w:rsidP="005A4F73">
      <w:pPr>
        <w:pStyle w:val="ListParagraph"/>
        <w:numPr>
          <w:ilvl w:val="0"/>
          <w:numId w:val="10"/>
        </w:numPr>
      </w:pPr>
      <w:r>
        <w:t xml:space="preserve">Identify the different metrics that can be used to evaluate every aspect of the performance of the system?  Organize these into a pyramid to indicate </w:t>
      </w:r>
      <w:proofErr w:type="gramStart"/>
      <w:r>
        <w:t>the relative</w:t>
      </w:r>
      <w:proofErr w:type="gramEnd"/>
      <w:r>
        <w:t xml:space="preserve"> importance, following the style given here.</w:t>
      </w:r>
    </w:p>
    <w:p w14:paraId="64500ADA" w14:textId="77777777" w:rsidR="005A4F73" w:rsidRDefault="005A4F73" w:rsidP="005A4F73">
      <w:pPr>
        <w:pStyle w:val="ListParagraph"/>
        <w:numPr>
          <w:ilvl w:val="0"/>
          <w:numId w:val="10"/>
        </w:numPr>
      </w:pPr>
      <w:r>
        <w:t xml:space="preserve">What are the types of decisions? Use the </w:t>
      </w:r>
      <w:hyperlink r:id="rId8" w:anchor="types-of-decision-settings" w:history="1">
        <w:r w:rsidRPr="00B20FB6">
          <w:rPr>
            <w:rStyle w:val="Hyperlink"/>
          </w:rPr>
          <w:t>list of decision types here as a guide</w:t>
        </w:r>
      </w:hyperlink>
      <w:r>
        <w:t xml:space="preserve">, illustrated by the </w:t>
      </w:r>
      <w:hyperlink r:id="rId9" w:anchor="from-apps-to-types" w:history="1">
        <w:r w:rsidRPr="00B20FB6">
          <w:rPr>
            <w:rStyle w:val="Hyperlink"/>
          </w:rPr>
          <w:t>applications here</w:t>
        </w:r>
      </w:hyperlink>
      <w:r>
        <w:t xml:space="preserve">.  </w:t>
      </w:r>
    </w:p>
    <w:p w14:paraId="6DBD3950" w14:textId="77777777" w:rsidR="005A4F73" w:rsidRDefault="005A4F73" w:rsidP="005A4F73">
      <w:pPr>
        <w:pStyle w:val="ListParagraph"/>
        <w:numPr>
          <w:ilvl w:val="0"/>
          <w:numId w:val="10"/>
        </w:numPr>
      </w:pPr>
      <w:r>
        <w:t xml:space="preserve">Use the </w:t>
      </w:r>
      <w:hyperlink r:id="rId10" w:history="1">
        <w:r w:rsidRPr="00B20FB6">
          <w:rPr>
            <w:rStyle w:val="Hyperlink"/>
          </w:rPr>
          <w:t>interactive framing matrix here</w:t>
        </w:r>
      </w:hyperlink>
      <w:r>
        <w:t xml:space="preserve"> to fill out the performance metrics along the top (from most to least important) followed by the list of decisions (in any order).  Use your judgment to assess whether the impact of each decision on each metric is H (high impact), M (medium), L (low) or N (none).  Finally, use the resulting matrix to rank the decisions in terms of their impact on the most important metrics.</w:t>
      </w:r>
    </w:p>
    <w:p w14:paraId="0F4CB664" w14:textId="77777777" w:rsidR="005A4F73" w:rsidRDefault="005A4F73" w:rsidP="005A4F73">
      <w:pPr>
        <w:pStyle w:val="ListParagraph"/>
        <w:numPr>
          <w:ilvl w:val="0"/>
          <w:numId w:val="10"/>
        </w:numPr>
      </w:pPr>
      <w:r>
        <w:t xml:space="preserve">What are the different sources of uncertainty?  Use the </w:t>
      </w:r>
      <w:hyperlink r:id="rId11" w:anchor="categories" w:history="1">
        <w:r w:rsidRPr="00B20FB6">
          <w:rPr>
            <w:rStyle w:val="Hyperlink"/>
          </w:rPr>
          <w:t>12 categories of uncertainty here as a guide</w:t>
        </w:r>
      </w:hyperlink>
      <w:r>
        <w:t>.</w:t>
      </w:r>
    </w:p>
    <w:p w14:paraId="0CFDC56A" w14:textId="77777777" w:rsidR="005A4F73" w:rsidRDefault="005A4F73" w:rsidP="005A4F73">
      <w:pPr>
        <w:pStyle w:val="ListParagraph"/>
        <w:numPr>
          <w:ilvl w:val="0"/>
          <w:numId w:val="10"/>
        </w:numPr>
      </w:pPr>
      <w:r>
        <w:t>Repeat the exercise in (3), but this time using uncertainties instead of decisions.</w:t>
      </w:r>
    </w:p>
    <w:p w14:paraId="7E8B37FD" w14:textId="77777777" w:rsidR="005A4F73" w:rsidRDefault="005A4F73" w:rsidP="005A4F73">
      <w:pPr>
        <w:pStyle w:val="ListParagraph"/>
        <w:numPr>
          <w:ilvl w:val="1"/>
          <w:numId w:val="10"/>
        </w:numPr>
      </w:pPr>
      <w:r>
        <w:t>Which sources of uncertainty would be captured using average performance over time?</w:t>
      </w:r>
    </w:p>
    <w:p w14:paraId="3DEFE5DD" w14:textId="77777777" w:rsidR="005A4F73" w:rsidRDefault="005A4F73" w:rsidP="005A4F73">
      <w:pPr>
        <w:pStyle w:val="ListParagraph"/>
        <w:numPr>
          <w:ilvl w:val="1"/>
          <w:numId w:val="10"/>
        </w:numPr>
      </w:pPr>
      <w:r>
        <w:t>Which sources of uncertainty represent forms of risk that are not properly captured using averages?</w:t>
      </w:r>
    </w:p>
    <w:p w14:paraId="375219FD" w14:textId="77777777" w:rsidR="005A4F73" w:rsidRDefault="005A4F73" w:rsidP="005A4F73">
      <w:pPr>
        <w:pStyle w:val="ListParagraph"/>
        <w:numPr>
          <w:ilvl w:val="0"/>
          <w:numId w:val="10"/>
        </w:numPr>
      </w:pPr>
      <w:r>
        <w:t xml:space="preserve">Choose the single decision that seems to have the highest impact on the most important metric.  </w:t>
      </w:r>
    </w:p>
    <w:p w14:paraId="63BBDC6B" w14:textId="77777777" w:rsidR="005A4F73" w:rsidRDefault="005A4F73" w:rsidP="005A4F73">
      <w:pPr>
        <w:pStyle w:val="ListParagraph"/>
        <w:numPr>
          <w:ilvl w:val="1"/>
          <w:numId w:val="10"/>
        </w:numPr>
      </w:pPr>
      <w:r>
        <w:t>What approach do you think you would use to make this decision?</w:t>
      </w:r>
    </w:p>
    <w:p w14:paraId="3903E916" w14:textId="77777777" w:rsidR="005A4F73" w:rsidRDefault="005A4F73" w:rsidP="005A4F73">
      <w:pPr>
        <w:pStyle w:val="ListParagraph"/>
        <w:numPr>
          <w:ilvl w:val="1"/>
          <w:numId w:val="10"/>
        </w:numPr>
      </w:pPr>
      <w:r>
        <w:t>What data appears to be necessary to make this decision, including the calculation of any performance metrics where the decision would have a high or medium impact.</w:t>
      </w:r>
    </w:p>
    <w:p w14:paraId="6611C044" w14:textId="77777777" w:rsidR="005A4F73" w:rsidRDefault="005A4F73" w:rsidP="005A4F73">
      <w:pPr>
        <w:pStyle w:val="ListParagraph"/>
        <w:numPr>
          <w:ilvl w:val="0"/>
          <w:numId w:val="10"/>
        </w:numPr>
      </w:pPr>
      <w:r>
        <w:t xml:space="preserve">Using the same </w:t>
      </w:r>
      <w:proofErr w:type="gramStart"/>
      <w:r>
        <w:t>decision</w:t>
      </w:r>
      <w:proofErr w:type="gramEnd"/>
      <w:r>
        <w:t xml:space="preserve"> you identified in (6), identify the people, departments, groups or organizations that you would need to work with to implement the decision?</w:t>
      </w:r>
    </w:p>
    <w:p w14:paraId="3515CCA6" w14:textId="77777777" w:rsidR="00B950EE" w:rsidRDefault="00000000" w:rsidP="00AC764A">
      <w:pPr>
        <w:pStyle w:val="Heading1"/>
      </w:pPr>
      <w:r>
        <w:t>Discussion Questions</w:t>
      </w:r>
    </w:p>
    <w:p w14:paraId="2058D52C" w14:textId="6055818E" w:rsidR="00B950EE" w:rsidRDefault="00000000" w:rsidP="005A4F73">
      <w:pPr>
        <w:pStyle w:val="ListParagraph"/>
        <w:numPr>
          <w:ilvl w:val="0"/>
          <w:numId w:val="12"/>
        </w:numPr>
      </w:pPr>
      <w:r>
        <w:t>What is the central problem facing Park and the Lakeside team? Which reported numbers are most informative, and which may conceal important variation?</w:t>
      </w:r>
    </w:p>
    <w:p w14:paraId="0AF6BCCC" w14:textId="2766A55B" w:rsidR="00B950EE" w:rsidRDefault="00000000" w:rsidP="005A4F73">
      <w:pPr>
        <w:pStyle w:val="ListParagraph"/>
        <w:numPr>
          <w:ilvl w:val="0"/>
          <w:numId w:val="12"/>
        </w:numPr>
      </w:pPr>
      <w:r>
        <w:t>How should Reed’s immediate risk of high or low glucose be balanced against the possibility of complications that may develop over many years?</w:t>
      </w:r>
    </w:p>
    <w:p w14:paraId="36B5A059" w14:textId="5EB9A4D8" w:rsidR="00B950EE" w:rsidRDefault="00000000" w:rsidP="005A4F73">
      <w:pPr>
        <w:pStyle w:val="ListParagraph"/>
        <w:numPr>
          <w:ilvl w:val="0"/>
          <w:numId w:val="12"/>
        </w:numPr>
      </w:pPr>
      <w:r>
        <w:t>What additional information would be most valuable before selecting a treatment plan? How should the team obtain it?</w:t>
      </w:r>
    </w:p>
    <w:p w14:paraId="70D53FAF" w14:textId="3BBB84EA" w:rsidR="00B950EE" w:rsidRDefault="00000000" w:rsidP="005A4F73">
      <w:pPr>
        <w:pStyle w:val="ListParagraph"/>
        <w:numPr>
          <w:ilvl w:val="0"/>
          <w:numId w:val="12"/>
        </w:numPr>
      </w:pPr>
      <w:r>
        <w:t>Should the team intensify treatment immediately, simplify the regimen, or collect more observations first?</w:t>
      </w:r>
    </w:p>
    <w:p w14:paraId="3FF9161C" w14:textId="29E90C7B" w:rsidR="00B950EE" w:rsidRDefault="00000000" w:rsidP="005A4F73">
      <w:pPr>
        <w:pStyle w:val="ListParagraph"/>
        <w:numPr>
          <w:ilvl w:val="0"/>
          <w:numId w:val="12"/>
        </w:numPr>
      </w:pPr>
      <w:r>
        <w:t>How should affordability and insurance uncertainty influence a plan that may be clinically attractive?</w:t>
      </w:r>
    </w:p>
    <w:p w14:paraId="51D1FBA0" w14:textId="7C656DEA" w:rsidR="00B950EE" w:rsidRDefault="00000000" w:rsidP="005A4F73">
      <w:pPr>
        <w:pStyle w:val="ListParagraph"/>
        <w:numPr>
          <w:ilvl w:val="0"/>
          <w:numId w:val="12"/>
        </w:numPr>
      </w:pPr>
      <w:r>
        <w:t>What parts of the plan should be determined by the clinician, and what choices should be left primarily to Reed?</w:t>
      </w:r>
    </w:p>
    <w:p w14:paraId="7FAEFF97" w14:textId="3A0D8227" w:rsidR="00B950EE" w:rsidRDefault="00000000" w:rsidP="005A4F73">
      <w:pPr>
        <w:pStyle w:val="ListParagraph"/>
        <w:numPr>
          <w:ilvl w:val="0"/>
          <w:numId w:val="12"/>
        </w:numPr>
      </w:pPr>
      <w:r>
        <w:t>How should Lakeside respond if Reed follows only some elements of the plan?</w:t>
      </w:r>
    </w:p>
    <w:p w14:paraId="77903538" w14:textId="09782D23" w:rsidR="00B950EE" w:rsidRDefault="00000000" w:rsidP="005A4F73">
      <w:pPr>
        <w:pStyle w:val="ListParagraph"/>
        <w:numPr>
          <w:ilvl w:val="0"/>
          <w:numId w:val="12"/>
        </w:numPr>
      </w:pPr>
      <w:r>
        <w:t>What conditions should trigger a treatment change before the ninety-day review?</w:t>
      </w:r>
    </w:p>
    <w:p w14:paraId="72569ECD" w14:textId="10381D8A" w:rsidR="00B950EE" w:rsidRDefault="00000000" w:rsidP="005A4F73">
      <w:pPr>
        <w:pStyle w:val="ListParagraph"/>
        <w:numPr>
          <w:ilvl w:val="0"/>
          <w:numId w:val="12"/>
        </w:numPr>
      </w:pPr>
      <w:r>
        <w:t>How should the clinic allocate limited pharmacist, educator, and care-manager capacity among Reed and other patients?</w:t>
      </w:r>
    </w:p>
    <w:p w14:paraId="00170940" w14:textId="57F94959" w:rsidR="00B950EE" w:rsidRDefault="00000000" w:rsidP="005A4F73">
      <w:pPr>
        <w:pStyle w:val="ListParagraph"/>
        <w:numPr>
          <w:ilvl w:val="0"/>
          <w:numId w:val="12"/>
        </w:numPr>
      </w:pPr>
      <w:r>
        <w:t>What would constitute success after ninety days if glucose control, low-glucose risk, cost, treatment burden, and sustainability point in different directions?</w:t>
      </w:r>
    </w:p>
    <w:p w14:paraId="0ECA8996" w14:textId="77777777" w:rsidR="00B950EE" w:rsidRDefault="00000000" w:rsidP="00AC764A">
      <w:pPr>
        <w:pStyle w:val="Heading1"/>
      </w:pPr>
      <w:r>
        <w:t>Source Note</w:t>
      </w:r>
    </w:p>
    <w:p w14:paraId="0B0CEEDA" w14:textId="77777777" w:rsidR="00B950EE" w:rsidRDefault="00000000" w:rsidP="00AC764A">
      <w:r>
        <w:t>The conceptual foundation for this case is the “Managing Type 2 diabetes” section of Warren B. Powell, Bridging Decision Problems, Volume I: Framing the Problem, Chapter 2. The case embeds the section’s clinical measures, treatment choices, patient actions, and unknown responses in the narrative and exhibits without identifying them as separate analytical categories.</w:t>
      </w:r>
    </w:p>
    <w:p w14:paraId="0A33DA8A" w14:textId="77777777" w:rsidR="00B950EE" w:rsidRDefault="00000000" w:rsidP="00AC764A">
      <w:r>
        <w:t xml:space="preserve">Public data used to motivate the setting include the Centers for Disease Control and Prevention, National Diabetes Statistics Report (updated January 2026), which estimates 40.1 million people with diabetes in the United States in 2023 and 115.2 million adults with prediabetes; CDC’s Diabetes Basics, which reports that </w:t>
      </w:r>
      <w:r>
        <w:lastRenderedPageBreak/>
        <w:t xml:space="preserve">Type 2 diabetes represents approximately 90–95 percent of diagnosed cases; and National Institute of Diabetes and Digestive and Kidney Diseases estimates placing the 2022 cost of diagnosed diabetes at $412.9 billion. CDC also reports that diabetes-related medical costs are more than twice as high for people with diabetes as for people without it. All </w:t>
      </w:r>
      <w:proofErr w:type="gramStart"/>
      <w:r>
        <w:t>patient</w:t>
      </w:r>
      <w:proofErr w:type="gramEnd"/>
      <w:r>
        <w:t xml:space="preserve">, </w:t>
      </w:r>
      <w:proofErr w:type="gramStart"/>
      <w:r>
        <w:t>clinic</w:t>
      </w:r>
      <w:proofErr w:type="gramEnd"/>
      <w:r>
        <w:t>, treatment, insurance, and financial data in the case are fictional and are not intended to guide medical care.</w:t>
      </w:r>
    </w:p>
    <w:p w14:paraId="13FDDE15" w14:textId="57C38D2E" w:rsidR="00AC764A" w:rsidRDefault="00AC764A" w:rsidP="00AC764A">
      <w:pPr>
        <w:pStyle w:val="Heading1"/>
      </w:pPr>
      <w:r>
        <w:t>ChatGPT notes</w:t>
      </w:r>
    </w:p>
    <w:p w14:paraId="5A63EB0C" w14:textId="2A6F62D3" w:rsidR="00AC764A" w:rsidRDefault="00AC764A" w:rsidP="00AC764A">
      <w:pPr>
        <w:pStyle w:val="Heading2"/>
      </w:pPr>
      <w:r>
        <w:t>Prompt</w:t>
      </w:r>
    </w:p>
    <w:p w14:paraId="3D167244" w14:textId="14DB43A1" w:rsidR="00AC764A" w:rsidRDefault="00AC764A" w:rsidP="00AC764A">
      <w:r w:rsidRPr="00AC764A">
        <w:t xml:space="preserve">Write a </w:t>
      </w:r>
      <w:proofErr w:type="gramStart"/>
      <w:r w:rsidRPr="00AC764A">
        <w:t>4-6 page</w:t>
      </w:r>
      <w:proofErr w:type="gramEnd"/>
      <w:r w:rsidRPr="00AC764A">
        <w:t xml:space="preserve"> case study based on the material in the section at https://warrenpowell.org/bridging-vol1/chapter-2/#managing-type-2-diabetes. Create a context based on the metrics, decisions and uncertainties in the section, but without explicitly calling attention to them. motivate your case problem with data.</w:t>
      </w:r>
    </w:p>
    <w:p w14:paraId="7666976A" w14:textId="53FB9EF5" w:rsidR="00AC764A" w:rsidRDefault="00AC764A" w:rsidP="00AC764A">
      <w:pPr>
        <w:pStyle w:val="Heading2"/>
      </w:pPr>
      <w:r>
        <w:t>Summary</w:t>
      </w:r>
    </w:p>
    <w:p w14:paraId="743C435A" w14:textId="77777777" w:rsidR="00AC764A" w:rsidRPr="00AC764A" w:rsidRDefault="00AC764A" w:rsidP="00AC764A">
      <w:r w:rsidRPr="00AC764A">
        <w:t>The case follows a physician, care team, and patient confronting an unresolved Type 2 diabetes treatment problem involving medication response, glucose monitoring, diet and exercise, adherence, treatment cost, insurance coverage, staff capacity, and the tension between short-term glucose variation and long-term complications.</w:t>
      </w:r>
    </w:p>
    <w:p w14:paraId="25E1CA4F" w14:textId="276E551D" w:rsidR="00AC764A" w:rsidRPr="00AC764A" w:rsidRDefault="00AC764A" w:rsidP="00AC764A">
      <w:r w:rsidRPr="00AC764A">
        <w:t xml:space="preserve">The setting is motivated by current federal estimates that 40.1 million Americans had diabetes in 2023, Type 2 diabetes represents roughly 90–95% of diagnosed cases, and the estimated U.S. cost of diagnosed diabetes was $412.9 billion in 2022. </w:t>
      </w:r>
    </w:p>
    <w:sectPr w:rsidR="00AC764A" w:rsidRPr="00AC764A" w:rsidSect="00034616">
      <w:headerReference w:type="default" r:id="rId12"/>
      <w:footerReference w:type="default" r:id="rId13"/>
      <w:pgSz w:w="12240" w:h="15840"/>
      <w:pgMar w:top="792" w:right="979" w:bottom="792" w:left="979"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0006D" w14:textId="77777777" w:rsidR="00D10058" w:rsidRDefault="00D10058" w:rsidP="00AC764A">
      <w:r>
        <w:separator/>
      </w:r>
    </w:p>
  </w:endnote>
  <w:endnote w:type="continuationSeparator" w:id="0">
    <w:p w14:paraId="7AA8CB87" w14:textId="77777777" w:rsidR="00D10058" w:rsidRDefault="00D10058" w:rsidP="00AC7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02F51" w14:textId="77777777" w:rsidR="00B950EE" w:rsidRDefault="00000000" w:rsidP="00AC764A">
    <w:pPr>
      <w:pStyle w:val="Footer"/>
    </w:pPr>
    <w:r>
      <w:fldChar w:fldCharType="begin"/>
    </w:r>
    <w:r>
      <w:instrText>PAGE</w:instrText>
    </w:r>
    <w:r>
      <w:fldChar w:fldCharType="separate"/>
    </w:r>
    <w:r w:rsidR="00AC764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60B23" w14:textId="77777777" w:rsidR="00D10058" w:rsidRDefault="00D10058" w:rsidP="00AC764A">
      <w:r>
        <w:separator/>
      </w:r>
    </w:p>
  </w:footnote>
  <w:footnote w:type="continuationSeparator" w:id="0">
    <w:p w14:paraId="7AAE9362" w14:textId="77777777" w:rsidR="00D10058" w:rsidRDefault="00D10058" w:rsidP="00AC76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2940E" w14:textId="77777777" w:rsidR="00B950EE" w:rsidRDefault="00000000" w:rsidP="00AC764A">
    <w:pPr>
      <w:pStyle w:val="Header"/>
    </w:pPr>
    <w:r>
      <w:t>LAKESIDE MEDICAL GROUP — DIABETES MANAGEMENT CASE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1CC425F"/>
    <w:multiLevelType w:val="hybridMultilevel"/>
    <w:tmpl w:val="A20C1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B76F84"/>
    <w:multiLevelType w:val="hybridMultilevel"/>
    <w:tmpl w:val="010CA1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FB10A9"/>
    <w:multiLevelType w:val="hybridMultilevel"/>
    <w:tmpl w:val="87D8ED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7993159">
    <w:abstractNumId w:val="8"/>
  </w:num>
  <w:num w:numId="2" w16cid:durableId="51346825">
    <w:abstractNumId w:val="6"/>
  </w:num>
  <w:num w:numId="3" w16cid:durableId="1075199258">
    <w:abstractNumId w:val="5"/>
  </w:num>
  <w:num w:numId="4" w16cid:durableId="1030298047">
    <w:abstractNumId w:val="4"/>
  </w:num>
  <w:num w:numId="5" w16cid:durableId="1297494288">
    <w:abstractNumId w:val="7"/>
  </w:num>
  <w:num w:numId="6" w16cid:durableId="653724787">
    <w:abstractNumId w:val="3"/>
  </w:num>
  <w:num w:numId="7" w16cid:durableId="1724981112">
    <w:abstractNumId w:val="2"/>
  </w:num>
  <w:num w:numId="8" w16cid:durableId="1167743156">
    <w:abstractNumId w:val="1"/>
  </w:num>
  <w:num w:numId="9" w16cid:durableId="2005083608">
    <w:abstractNumId w:val="0"/>
  </w:num>
  <w:num w:numId="10" w16cid:durableId="1268582022">
    <w:abstractNumId w:val="10"/>
  </w:num>
  <w:num w:numId="11" w16cid:durableId="1284506853">
    <w:abstractNumId w:val="11"/>
  </w:num>
  <w:num w:numId="12" w16cid:durableId="5585216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5A4F73"/>
    <w:rsid w:val="00783E8A"/>
    <w:rsid w:val="008852B7"/>
    <w:rsid w:val="00A42D79"/>
    <w:rsid w:val="00AA1D8D"/>
    <w:rsid w:val="00AC764A"/>
    <w:rsid w:val="00B47730"/>
    <w:rsid w:val="00B950EE"/>
    <w:rsid w:val="00CB0664"/>
    <w:rsid w:val="00D1005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BC8F37"/>
  <w14:defaultImageDpi w14:val="300"/>
  <w15:docId w15:val="{77E058F0-7536-495E-9E29-E8761B0C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64A"/>
    <w:pPr>
      <w:spacing w:after="80" w:line="247" w:lineRule="auto"/>
    </w:pPr>
    <w:rPr>
      <w:rFonts w:ascii="Aptos" w:hAnsi="Aptos"/>
    </w:rPr>
  </w:style>
  <w:style w:type="paragraph" w:styleId="Heading1">
    <w:name w:val="heading 1"/>
    <w:basedOn w:val="Normal"/>
    <w:next w:val="Normal"/>
    <w:link w:val="Heading1Char"/>
    <w:uiPriority w:val="9"/>
    <w:qFormat/>
    <w:rsid w:val="00FC693F"/>
    <w:pPr>
      <w:keepNext/>
      <w:keepLines/>
      <w:spacing w:before="140" w:after="60"/>
      <w:outlineLvl w:val="0"/>
    </w:pPr>
    <w:rPr>
      <w:rFonts w:asciiTheme="majorHAnsi" w:eastAsiaTheme="majorEastAsia" w:hAnsiTheme="majorHAnsi" w:cstheme="majorBidi"/>
      <w:b/>
      <w:bCs/>
      <w:color w:val="284B63"/>
      <w:sz w:val="30"/>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b/>
      <w:bCs/>
      <w:color w:val="3C6E71"/>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rPr>
      <w:sz w:val="18"/>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5A4F73"/>
    <w:rPr>
      <w:color w:val="0000FF" w:themeColor="hyperlink"/>
      <w:u w:val="single"/>
    </w:rPr>
  </w:style>
  <w:style w:type="paragraph" w:customStyle="1" w:styleId="CaseTitle">
    <w:name w:val="Case Title"/>
    <w:basedOn w:val="Normal"/>
    <w:rsid w:val="00783E8A"/>
    <w:rPr>
      <w:rFonts w:ascii="Aptos Display" w:eastAsia="Aptos Display" w:hAnsi="Aptos Display"/>
      <w:b/>
      <w:color w:val="284B63"/>
      <w:sz w:val="48"/>
    </w:rPr>
  </w:style>
  <w:style w:type="paragraph" w:customStyle="1" w:styleId="CaseSubtitle">
    <w:name w:val="Case Subtitle"/>
    <w:basedOn w:val="Normal"/>
    <w:rsid w:val="00783E8A"/>
    <w:rPr>
      <w:rFonts w:ascii="Aptos Display" w:eastAsia="Aptos Display" w:hAnsi="Aptos Display"/>
      <w:b/>
      <w:color w:val="3C6E71"/>
      <w:sz w:val="36"/>
    </w:rPr>
  </w:style>
  <w:style w:type="paragraph" w:customStyle="1" w:styleId="CaseDeck">
    <w:name w:val="Case Deck"/>
    <w:basedOn w:val="Normal"/>
    <w:rsid w:val="00783E8A"/>
    <w:rPr>
      <w:rFonts w:eastAsia="Aptos"/>
      <w:i/>
      <w:sz w:val="21"/>
    </w:rPr>
  </w:style>
  <w:style w:type="paragraph" w:customStyle="1" w:styleId="CaseDisclaimer">
    <w:name w:val="Case Disclaimer"/>
    <w:basedOn w:val="Normal"/>
    <w:rsid w:val="00783E8A"/>
    <w:rPr>
      <w:rFonts w:eastAsia="Aptos"/>
      <w:color w:val="646464"/>
      <w:sz w:val="16"/>
    </w:rPr>
  </w:style>
  <w:style w:type="paragraph" w:customStyle="1" w:styleId="CaseSpacer">
    <w:name w:val="Case Spacer"/>
    <w:basedOn w:val="Normal"/>
    <w:rsid w:val="00783E8A"/>
    <w:rPr>
      <w:rFonts w:eastAsia="Aptos"/>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rrenpowell.org/decisionsdecision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arrenpowell.org/modeling-uncertaint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inyurl.com/FramingMatrix/" TargetMode="External"/><Relationship Id="rId4" Type="http://schemas.openxmlformats.org/officeDocument/2006/relationships/settings" Target="settings.xml"/><Relationship Id="rId9" Type="http://schemas.openxmlformats.org/officeDocument/2006/relationships/hyperlink" Target="https://warrenpowell.org/decisionsdecision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3010</Words>
  <Characters>17162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20132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Lakeside Medical Group: The Next Ninety Days</dc:title>
  <dc:subject>Business case study on managing Type 2 diabetes</dc:subject>
  <dc:creator>OpenAI</dc:creator>
  <cp:keywords/>
  <dc:description>generated by python-docx</dc:description>
  <cp:lastModifiedBy>Warren Powell</cp:lastModifiedBy>
  <cp:revision>4</cp:revision>
  <dcterms:created xsi:type="dcterms:W3CDTF">2026-07-30T16:07:00Z</dcterms:created>
  <dcterms:modified xsi:type="dcterms:W3CDTF">2026-07-30T18:35:00Z</dcterms:modified>
  <cp:category/>
</cp:coreProperties>
</file>