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BA8A" w14:textId="77777777" w:rsidR="0068671C" w:rsidRDefault="00000000" w:rsidP="00C439F9">
      <w:pPr>
        <w:pStyle w:val="Title"/>
      </w:pPr>
      <w:r>
        <w:t>The Harbor County Immunity Gap</w:t>
      </w:r>
    </w:p>
    <w:p w14:paraId="66093731" w14:textId="77777777" w:rsidR="0068671C" w:rsidRDefault="00000000">
      <w:pPr>
        <w:pStyle w:val="CaseDeck"/>
      </w:pPr>
      <w:r>
        <w:t>How should a community respond when measles risk is concentrated, vaccination confidence is falling, and the costs of prevention are immediate—but the benefits are largely invisible?</w:t>
      </w:r>
    </w:p>
    <w:tbl>
      <w:tblPr>
        <w:tblW w:w="0" w:type="auto"/>
        <w:jc w:val="center"/>
        <w:tblLayout w:type="fixed"/>
        <w:tblLook w:val="04A0" w:firstRow="1" w:lastRow="0" w:firstColumn="1" w:lastColumn="0" w:noHBand="0" w:noVBand="1"/>
      </w:tblPr>
      <w:tblGrid>
        <w:gridCol w:w="3197"/>
        <w:gridCol w:w="3197"/>
        <w:gridCol w:w="3197"/>
      </w:tblGrid>
      <w:tr w:rsidR="0068671C" w14:paraId="43DDCBE4" w14:textId="77777777">
        <w:trPr>
          <w:cantSplit/>
          <w:tblHeader/>
          <w:jc w:val="center"/>
        </w:trPr>
        <w:tc>
          <w:tcPr>
            <w:tcW w:w="3197" w:type="dxa"/>
            <w:shd w:val="clear" w:color="auto" w:fill="EAF0F5"/>
          </w:tcPr>
          <w:p w14:paraId="0A9744B2" w14:textId="77777777" w:rsidR="0068671C" w:rsidRDefault="00000000" w:rsidP="00C439F9">
            <w:r>
              <w:rPr>
                <w:b/>
                <w:color w:val="2D4E69"/>
                <w:sz w:val="15"/>
              </w:rPr>
              <w:t>SETTING</w:t>
            </w:r>
            <w:r>
              <w:rPr>
                <w:b/>
                <w:color w:val="2D4E69"/>
                <w:sz w:val="15"/>
              </w:rPr>
              <w:br/>
            </w:r>
            <w:r>
              <w:t>Harbor County, a fictional suburban-rural county</w:t>
            </w:r>
          </w:p>
        </w:tc>
        <w:tc>
          <w:tcPr>
            <w:tcW w:w="3197" w:type="dxa"/>
            <w:shd w:val="clear" w:color="auto" w:fill="EAF0F5"/>
          </w:tcPr>
          <w:p w14:paraId="683317BC" w14:textId="77777777" w:rsidR="0068671C" w:rsidRDefault="00000000" w:rsidP="00C439F9">
            <w:r>
              <w:rPr>
                <w:b/>
                <w:color w:val="2D4E69"/>
                <w:sz w:val="15"/>
              </w:rPr>
              <w:t>DECISION MAKER</w:t>
            </w:r>
            <w:r>
              <w:rPr>
                <w:b/>
                <w:color w:val="2D4E69"/>
                <w:sz w:val="15"/>
              </w:rPr>
              <w:br/>
            </w:r>
            <w:r>
              <w:t>Dr. Maya Patel, County Health Officer</w:t>
            </w:r>
          </w:p>
        </w:tc>
        <w:tc>
          <w:tcPr>
            <w:tcW w:w="3197" w:type="dxa"/>
            <w:shd w:val="clear" w:color="auto" w:fill="EAF0F5"/>
          </w:tcPr>
          <w:p w14:paraId="0B22748C" w14:textId="77777777" w:rsidR="0068671C" w:rsidRDefault="00000000" w:rsidP="00C439F9">
            <w:r>
              <w:t>DECISION DATE</w:t>
            </w:r>
            <w:r>
              <w:br/>
            </w:r>
            <w:r>
              <w:rPr>
                <w:sz w:val="17"/>
              </w:rPr>
              <w:t>August 2026</w:t>
            </w:r>
          </w:p>
        </w:tc>
      </w:tr>
    </w:tbl>
    <w:p w14:paraId="2327A33A" w14:textId="77777777" w:rsidR="008C534A" w:rsidRDefault="008C534A" w:rsidP="00C439F9">
      <w:pPr>
        <w:pStyle w:val="Heading1"/>
      </w:pPr>
    </w:p>
    <w:p w14:paraId="2EE3CA0A" w14:textId="1F1C7E57" w:rsidR="0068671C" w:rsidRDefault="00000000" w:rsidP="00C439F9">
      <w:pPr>
        <w:pStyle w:val="Heading1"/>
      </w:pPr>
      <w:r>
        <w:t>A message before sunrise</w:t>
      </w:r>
    </w:p>
    <w:p w14:paraId="73CA9DCC" w14:textId="77777777" w:rsidR="0068671C" w:rsidRDefault="00000000" w:rsidP="00C439F9">
      <w:r>
        <w:t>At 5:42 a.m., Dr. Maya Patel received a text from the state epidemiologist: a laboratory had confirmed measles in a nine-year-old Harbor County student. The child had attended school for four days while infectious, visited an urgent-care clinic, played in a weekend basketball tournament, and spent two hours in a crowded airport terminal before the rash appeared.</w:t>
      </w:r>
    </w:p>
    <w:p w14:paraId="3F1495D8" w14:textId="50DBC919" w:rsidR="0068671C" w:rsidRPr="00C439F9" w:rsidRDefault="00000000" w:rsidP="00C439F9">
      <w:r w:rsidRPr="00C439F9">
        <w:t xml:space="preserve">By 7:00 a.m., the county health department had identified 186 people who might have been exposed. The number would grow. Some contacts had electronic vaccination records; others had records scattered across pediatric practices, schools, pharmacies, and other states. Twenty-seven infants were too young for routine vaccination. At least eleven exposed people were pregnant or </w:t>
      </w:r>
      <w:r w:rsidR="00A875AC" w:rsidRPr="00C439F9">
        <w:t>immuno-compromised</w:t>
      </w:r>
      <w:r w:rsidRPr="00C439F9">
        <w:t>. The school district wanted to know whether students without documented immunity should be excluded from class—and for how long.</w:t>
      </w:r>
    </w:p>
    <w:p w14:paraId="13C54754" w14:textId="77777777" w:rsidR="0068671C" w:rsidRDefault="00000000" w:rsidP="00C439F9">
      <w:r>
        <w:t>The confirmed case arrived during a national resurgence. As of July 23, 2026, the United States had reported 2,318 confirmed measles cases, with 93% associated with outbreaks. The full-year total for 2025 had been 2,289 cases, compared with 285 in 2024.¹</w:t>
      </w:r>
    </w:p>
    <w:p w14:paraId="124E1C6A" w14:textId="77777777" w:rsidR="0068671C" w:rsidRDefault="00000000" w:rsidP="00C439F9">
      <w:r>
        <w:t>Harbor County had no confirmed local transmission in more than a decade. Yet Patel knew that absence of disease was not the same as absence of risk. Countywide MMR coverage among kindergartners was 91.8%, but the average concealed wide variation among schools and neighborhoods. The county executive had scheduled an emergency meeting for 3:30 p.m. Patel was expected to recommend an immediate response and a longer-term vaccination strategy—without inflaming distrust or promising that an outbreak could be prevented.</w:t>
      </w:r>
    </w:p>
    <w:p w14:paraId="59A4B924" w14:textId="77777777" w:rsidR="0068671C" w:rsidRDefault="00000000" w:rsidP="00C439F9">
      <w:pPr>
        <w:pStyle w:val="Heading2"/>
      </w:pPr>
      <w:r>
        <w:t>The central challenge</w:t>
      </w:r>
    </w:p>
    <w:p w14:paraId="1F5F817B" w14:textId="77777777" w:rsidR="0068671C" w:rsidRDefault="00000000">
      <w:pPr>
        <w:pStyle w:val="CaseQuestion"/>
      </w:pPr>
      <w:r>
        <w:t>Should Harbor County treat the case as a contained exposure requiring an intensive short-term response, or as evidence of a deeper immunity gap that justifies sustained intervention in schools, clinics, and communities?</w:t>
      </w:r>
    </w:p>
    <w:p w14:paraId="2DF718A3" w14:textId="77777777" w:rsidR="0068671C" w:rsidRDefault="00000000" w:rsidP="00C439F9">
      <w:pPr>
        <w:pStyle w:val="Heading1"/>
      </w:pPr>
      <w:r>
        <w:t>Harbor County</w:t>
      </w:r>
    </w:p>
    <w:p w14:paraId="7B78ED98" w14:textId="77777777" w:rsidR="0068671C" w:rsidRDefault="00000000" w:rsidP="00C439F9">
      <w:r>
        <w:t>Harbor County had 742,000 residents. Its coastal suburbs included several large employers, a regional airport, and a university medical center. Inland communities were more rural, with fewer pediatric practices and limited evening transportation. The county was economically diverse: median household income was $86,900, but 14% of children lived below the federal poverty line. Approximately 24% of residents spoke a language other than English at home. All Harbor County data in this case are fictional but designed to reflect conditions faced by U.S. communities.</w:t>
      </w:r>
    </w:p>
    <w:p w14:paraId="693FCBE3" w14:textId="77777777" w:rsidR="0068671C" w:rsidRDefault="00000000" w:rsidP="00C439F9">
      <w:pPr>
        <w:pStyle w:val="Heading1"/>
      </w:pPr>
      <w:r>
        <w:t>A preventable disease with demanding control requirements</w:t>
      </w:r>
    </w:p>
    <w:p w14:paraId="4F7DC46A" w14:textId="77777777" w:rsidR="0068671C" w:rsidRDefault="00000000" w:rsidP="00C439F9">
      <w:r>
        <w:t xml:space="preserve">Measles is among the most contagious human infections. Symptoms often begin 7 to 14 days after exposure, allowing infected people to move through schools, clinics, stores, workplaces, and transportation systems before the illness is recognized. About one in five unvaccinated U.S. patients with measles is hospitalized; pneumonia occurs in as many as one in twenty children, and encephalitis in about one in one </w:t>
      </w:r>
      <w:proofErr w:type="gramStart"/>
      <w:r>
        <w:t>thousand.²</w:t>
      </w:r>
      <w:proofErr w:type="gramEnd"/>
    </w:p>
    <w:p w14:paraId="26E50780" w14:textId="77777777" w:rsidR="0068671C" w:rsidRDefault="00000000" w:rsidP="00C439F9">
      <w:r>
        <w:t xml:space="preserve">Two MMR doses provide the best protection, and most vaccinated people are protected for life. Children are routinely recommended to receive the first dose at 12–15 months and the second at 4–6 </w:t>
      </w:r>
      <w:proofErr w:type="gramStart"/>
      <w:r>
        <w:t>years.³</w:t>
      </w:r>
      <w:proofErr w:type="gramEnd"/>
      <w:r>
        <w:t xml:space="preserve"> Community protection generally requires vaccination coverage above 95%, a threshold that must be sustained locally rather than only in countywide </w:t>
      </w:r>
      <w:proofErr w:type="gramStart"/>
      <w:r>
        <w:t>averages.¹</w:t>
      </w:r>
      <w:proofErr w:type="gramEnd"/>
    </w:p>
    <w:p w14:paraId="3B5D900B" w14:textId="77777777" w:rsidR="0068671C" w:rsidRDefault="00000000" w:rsidP="00C439F9">
      <w:r>
        <w:lastRenderedPageBreak/>
        <w:t>National kindergarten MMR coverage fell from 95.2% in 2019–2020 to 92.5% in 2024–2025, leaving about 286,000 kindergartners without documentation of completing the series. Exemptions from one or more vaccines rose to 3.6%, and seventeen states reported exemption rates above 5</w:t>
      </w:r>
      <w:proofErr w:type="gramStart"/>
      <w:r>
        <w:t>%.⁴</w:t>
      </w:r>
      <w:proofErr w:type="gramEnd"/>
    </w:p>
    <w:p w14:paraId="0F6BC7F9" w14:textId="77777777" w:rsidR="0068671C" w:rsidRDefault="00000000" w:rsidP="00C439F9">
      <w:pPr>
        <w:pStyle w:val="Heading1"/>
      </w:pPr>
      <w:r>
        <w:t>The local immunity map</w:t>
      </w:r>
    </w:p>
    <w:p w14:paraId="34E343FF" w14:textId="77777777" w:rsidR="0068671C" w:rsidRDefault="00000000" w:rsidP="00C439F9">
      <w:r>
        <w:t xml:space="preserve">Harbor County’s average appeared manageable until </w:t>
      </w:r>
      <w:proofErr w:type="gramStart"/>
      <w:r>
        <w:t>analysts</w:t>
      </w:r>
      <w:proofErr w:type="gramEnd"/>
      <w:r>
        <w:t xml:space="preserve"> mapped coverage at the school level. Forty-three of the county’s 128 elementary schools exceeded 95% documented MMR coverage. Thirty-one schools were below 90%, including nine </w:t>
      </w:r>
      <w:proofErr w:type="gramStart"/>
      <w:r>
        <w:t>below</w:t>
      </w:r>
      <w:proofErr w:type="gramEnd"/>
      <w:r>
        <w:t xml:space="preserve"> 85%. Several low-coverage schools were geographically clustered, but their circumstances differed. Some served families who had difficulty scheduling appointments or retrieving records. Others had organized networks of parents who questioned vaccine requirements. A few private schools had high exemption rates but strong relationships with families and little trust in county government.</w:t>
      </w:r>
    </w:p>
    <w:p w14:paraId="0DB44B62" w14:textId="77777777" w:rsidR="0068671C" w:rsidRDefault="00000000" w:rsidP="00C439F9">
      <w:r>
        <w:t xml:space="preserve">The data </w:t>
      </w:r>
      <w:proofErr w:type="gramStart"/>
      <w:r>
        <w:t>were</w:t>
      </w:r>
      <w:proofErr w:type="gramEnd"/>
      <w:r>
        <w:t xml:space="preserve"> incomplete. The state immunization registry did not reliably capture vaccinations given before families moved into the state. School records counted missing documentation as not vaccinated, which overstated susceptibility in some places. At the same time, school averages could understate risk because unvaccinated families often interacted through sports teams, religious communities, childcare networks, and home-school groups that crossed attendance boundaries.</w:t>
      </w:r>
    </w:p>
    <w:p w14:paraId="58BC957D" w14:textId="77777777" w:rsidR="0068671C" w:rsidRDefault="00000000" w:rsidP="00C439F9">
      <w:pPr>
        <w:pStyle w:val="Heading1"/>
      </w:pPr>
      <w:r>
        <w:t>The immediate response</w:t>
      </w:r>
    </w:p>
    <w:p w14:paraId="55BFC0AA" w14:textId="77777777" w:rsidR="0068671C" w:rsidRDefault="00000000" w:rsidP="00C439F9">
      <w:r>
        <w:t>Case investigation and contact tracing: Interview the family, reconstruct locations and timing, notify exposed people, and monitor symptoms for 21 days after the last exposure.</w:t>
      </w:r>
    </w:p>
    <w:p w14:paraId="384F14F2" w14:textId="77777777" w:rsidR="0068671C" w:rsidRDefault="00000000" w:rsidP="00C439F9">
      <w:r>
        <w:t xml:space="preserve">Post-exposure protection: Arrange rapid MMR vaccination for eligible contacts within 72 hours of exposure and immune globulin for certain high-risk people within six </w:t>
      </w:r>
      <w:proofErr w:type="gramStart"/>
      <w:r>
        <w:t>days.³</w:t>
      </w:r>
      <w:proofErr w:type="gramEnd"/>
    </w:p>
    <w:p w14:paraId="4CE363ED" w14:textId="77777777" w:rsidR="0068671C" w:rsidRDefault="00000000" w:rsidP="00C439F9">
      <w:r>
        <w:t>School controls: Verify records, identify susceptible students and staff, and determine whether exclusion is legally required or operationally feasible.</w:t>
      </w:r>
    </w:p>
    <w:p w14:paraId="4A7D5709" w14:textId="77777777" w:rsidR="0068671C" w:rsidRDefault="00000000" w:rsidP="00C439F9">
      <w:r>
        <w:t>Clinical readiness: Alert hospitals and practices, establish isolation procedures, and reduce the risk that suspected patients expose waiting rooms.</w:t>
      </w:r>
    </w:p>
    <w:p w14:paraId="4580C93D" w14:textId="77777777" w:rsidR="0068671C" w:rsidRDefault="00000000" w:rsidP="00C439F9">
      <w:r>
        <w:t>Public communication: Inform the community quickly enough to prompt action, while avoiding disclosure of the child’s identity or language that could stigmatize a school, faith community, immigrant group, or vaccine-hesitant families.</w:t>
      </w:r>
    </w:p>
    <w:p w14:paraId="78B5023F" w14:textId="77777777" w:rsidR="0068671C" w:rsidRDefault="00000000" w:rsidP="00C439F9">
      <w:pPr>
        <w:pStyle w:val="Heading1"/>
      </w:pPr>
      <w:r>
        <w:t>Conflicting views</w:t>
      </w:r>
    </w:p>
    <w:p w14:paraId="532429F7" w14:textId="77777777" w:rsidR="0068671C" w:rsidRDefault="00000000" w:rsidP="00C439F9">
      <w:r>
        <w:t>Superintendent Laura Chen wanted a uniform rule. Principals could not interpret different records and exemptions while also managing anxious parents and staff absences. The county attorney warned that exclusion rules were governed by state law and due-process requirements. Pediatricians supported vaccination clinics but said many offices lacked spare staff and refrigerated storage for a sudden campaign. Hospital executives asked the county to fund dedicated triage and testing capacity so suspected patients would not enter ordinary emergency-department waiting rooms.</w:t>
      </w:r>
    </w:p>
    <w:p w14:paraId="2D6AC4F8" w14:textId="77777777" w:rsidR="0068671C" w:rsidRDefault="00000000" w:rsidP="00C439F9">
      <w:r>
        <w:t xml:space="preserve">Parent groups disagreed sharply. Some demanded immediate exclusion of every student without verified immunity. Others argued that a single imported case did not justify disrupting education or treating exempt families as irresponsible. Community organizations said the county’s messages were too technical and too focused on persuasion. They wanted practical </w:t>
      </w:r>
      <w:proofErr w:type="gramStart"/>
      <w:r>
        <w:t>support—translation</w:t>
      </w:r>
      <w:proofErr w:type="gramEnd"/>
      <w:r>
        <w:t>, transportation, evening clinics, record retrieval, and trusted messengers—before enforcement.</w:t>
      </w:r>
    </w:p>
    <w:p w14:paraId="74132892" w14:textId="77777777" w:rsidR="0068671C" w:rsidRDefault="00000000" w:rsidP="00C439F9">
      <w:pPr>
        <w:pStyle w:val="Heading1"/>
      </w:pPr>
      <w:r>
        <w:t>The funding decision</w:t>
      </w:r>
    </w:p>
    <w:p w14:paraId="1E085803" w14:textId="77777777" w:rsidR="0068671C" w:rsidRDefault="00000000" w:rsidP="00C439F9">
      <w:r>
        <w:t xml:space="preserve">Patel could access $1.9 million in emergency reserves. A state outbreak grant might reimburse up to $1.2 million, but only after expenses were documented and approved. The county executive was willing to consider </w:t>
      </w:r>
      <w:proofErr w:type="gramStart"/>
      <w:r>
        <w:t>an additional</w:t>
      </w:r>
      <w:proofErr w:type="gramEnd"/>
      <w:r>
        <w:t xml:space="preserve"> appropriation if Patel could explain what would be purchased, how long it would operate, and when the county would stop. Every dollar committed to measles would be unavailable for restaurant inspections, sexually transmitted infection clinics, maternal health visits, tuberculosis control, and preparations for the fall respiratory-virus season.</w:t>
      </w:r>
    </w:p>
    <w:p w14:paraId="41251F04" w14:textId="77777777" w:rsidR="0068671C" w:rsidRDefault="00000000" w:rsidP="00C439F9">
      <w:pPr>
        <w:pStyle w:val="Heading1"/>
      </w:pPr>
      <w:r>
        <w:t>Programs under review</w:t>
      </w:r>
    </w:p>
    <w:p w14:paraId="4823B192" w14:textId="77777777" w:rsidR="0068671C" w:rsidRDefault="00000000">
      <w:pPr>
        <w:pStyle w:val="CaseDeck"/>
      </w:pPr>
      <w:r>
        <w:t>Note: Costs, outputs, and local estimates are fictional. Capacity figures show what could be delivered during the first 90 days.</w:t>
      </w:r>
    </w:p>
    <w:tbl>
      <w:tblPr>
        <w:tblStyle w:val="TableGrid"/>
        <w:tblW w:w="0" w:type="auto"/>
        <w:jc w:val="center"/>
        <w:tblLayout w:type="fixed"/>
        <w:tblLook w:val="04A0" w:firstRow="1" w:lastRow="0" w:firstColumn="1" w:lastColumn="0" w:noHBand="0" w:noVBand="1"/>
      </w:tblPr>
      <w:tblGrid>
        <w:gridCol w:w="1800"/>
        <w:gridCol w:w="1224"/>
        <w:gridCol w:w="1800"/>
        <w:gridCol w:w="2232"/>
        <w:gridCol w:w="2088"/>
      </w:tblGrid>
      <w:tr w:rsidR="0068671C" w14:paraId="6A487BD6" w14:textId="77777777">
        <w:trPr>
          <w:cantSplit/>
          <w:tblHeader/>
          <w:jc w:val="center"/>
        </w:trPr>
        <w:tc>
          <w:tcPr>
            <w:tcW w:w="1800" w:type="dxa"/>
            <w:shd w:val="clear" w:color="auto" w:fill="315B7D"/>
            <w:tcMar>
              <w:top w:w="55" w:type="dxa"/>
              <w:left w:w="55" w:type="dxa"/>
              <w:bottom w:w="55" w:type="dxa"/>
              <w:right w:w="55" w:type="dxa"/>
            </w:tcMar>
            <w:vAlign w:val="center"/>
          </w:tcPr>
          <w:p w14:paraId="1C601511" w14:textId="77777777" w:rsidR="0068671C" w:rsidRDefault="00000000" w:rsidP="00C439F9">
            <w:r>
              <w:lastRenderedPageBreak/>
              <w:t>Intervention</w:t>
            </w:r>
          </w:p>
        </w:tc>
        <w:tc>
          <w:tcPr>
            <w:tcW w:w="1224" w:type="dxa"/>
            <w:shd w:val="clear" w:color="auto" w:fill="315B7D"/>
            <w:tcMar>
              <w:top w:w="55" w:type="dxa"/>
              <w:left w:w="55" w:type="dxa"/>
              <w:bottom w:w="55" w:type="dxa"/>
              <w:right w:w="55" w:type="dxa"/>
            </w:tcMar>
            <w:vAlign w:val="center"/>
          </w:tcPr>
          <w:p w14:paraId="2D14FDA6" w14:textId="77777777" w:rsidR="0068671C" w:rsidRDefault="00000000" w:rsidP="00C439F9">
            <w:r>
              <w:t>90-day cost</w:t>
            </w:r>
          </w:p>
        </w:tc>
        <w:tc>
          <w:tcPr>
            <w:tcW w:w="1800" w:type="dxa"/>
            <w:shd w:val="clear" w:color="auto" w:fill="315B7D"/>
            <w:tcMar>
              <w:top w:w="55" w:type="dxa"/>
              <w:left w:w="55" w:type="dxa"/>
              <w:bottom w:w="55" w:type="dxa"/>
              <w:right w:w="55" w:type="dxa"/>
            </w:tcMar>
            <w:vAlign w:val="center"/>
          </w:tcPr>
          <w:p w14:paraId="1953A64B" w14:textId="77777777" w:rsidR="0068671C" w:rsidRDefault="00000000" w:rsidP="00C439F9">
            <w:r>
              <w:t>Potential capacity</w:t>
            </w:r>
          </w:p>
        </w:tc>
        <w:tc>
          <w:tcPr>
            <w:tcW w:w="2232" w:type="dxa"/>
            <w:shd w:val="clear" w:color="auto" w:fill="315B7D"/>
            <w:tcMar>
              <w:top w:w="55" w:type="dxa"/>
              <w:left w:w="55" w:type="dxa"/>
              <w:bottom w:w="55" w:type="dxa"/>
              <w:right w:w="55" w:type="dxa"/>
            </w:tcMar>
            <w:vAlign w:val="center"/>
          </w:tcPr>
          <w:p w14:paraId="391F4EAF" w14:textId="77777777" w:rsidR="0068671C" w:rsidRDefault="00000000" w:rsidP="00C439F9">
            <w:r>
              <w:t>Primary uncertainty</w:t>
            </w:r>
          </w:p>
        </w:tc>
        <w:tc>
          <w:tcPr>
            <w:tcW w:w="2088" w:type="dxa"/>
            <w:shd w:val="clear" w:color="auto" w:fill="315B7D"/>
            <w:tcMar>
              <w:top w:w="55" w:type="dxa"/>
              <w:left w:w="55" w:type="dxa"/>
              <w:bottom w:w="55" w:type="dxa"/>
              <w:right w:w="55" w:type="dxa"/>
            </w:tcMar>
            <w:vAlign w:val="center"/>
          </w:tcPr>
          <w:p w14:paraId="011A5556" w14:textId="77777777" w:rsidR="0068671C" w:rsidRDefault="00000000" w:rsidP="00C439F9">
            <w:r>
              <w:t>Operational constraint</w:t>
            </w:r>
          </w:p>
        </w:tc>
      </w:tr>
      <w:tr w:rsidR="0068671C" w14:paraId="2BA68972" w14:textId="77777777">
        <w:trPr>
          <w:cantSplit/>
          <w:jc w:val="center"/>
        </w:trPr>
        <w:tc>
          <w:tcPr>
            <w:tcW w:w="1800" w:type="dxa"/>
            <w:tcMar>
              <w:top w:w="55" w:type="dxa"/>
              <w:left w:w="55" w:type="dxa"/>
              <w:bottom w:w="55" w:type="dxa"/>
              <w:right w:w="55" w:type="dxa"/>
            </w:tcMar>
            <w:vAlign w:val="center"/>
          </w:tcPr>
          <w:p w14:paraId="79C3B867" w14:textId="77777777" w:rsidR="0068671C" w:rsidRDefault="00000000" w:rsidP="00C439F9">
            <w:r>
              <w:t>School-based clinics</w:t>
            </w:r>
          </w:p>
        </w:tc>
        <w:tc>
          <w:tcPr>
            <w:tcW w:w="1224" w:type="dxa"/>
            <w:tcMar>
              <w:top w:w="55" w:type="dxa"/>
              <w:left w:w="55" w:type="dxa"/>
              <w:bottom w:w="55" w:type="dxa"/>
              <w:right w:w="55" w:type="dxa"/>
            </w:tcMar>
            <w:vAlign w:val="center"/>
          </w:tcPr>
          <w:p w14:paraId="64862FCB" w14:textId="77777777" w:rsidR="0068671C" w:rsidRDefault="00000000" w:rsidP="00C439F9">
            <w:r>
              <w:t>$620,000</w:t>
            </w:r>
          </w:p>
        </w:tc>
        <w:tc>
          <w:tcPr>
            <w:tcW w:w="1800" w:type="dxa"/>
            <w:tcMar>
              <w:top w:w="55" w:type="dxa"/>
              <w:left w:w="55" w:type="dxa"/>
              <w:bottom w:w="55" w:type="dxa"/>
              <w:right w:w="55" w:type="dxa"/>
            </w:tcMar>
            <w:vAlign w:val="center"/>
          </w:tcPr>
          <w:p w14:paraId="0AE459A3" w14:textId="77777777" w:rsidR="0068671C" w:rsidRDefault="00000000" w:rsidP="00C439F9">
            <w:r>
              <w:t>18,000 vaccinations or record reviews</w:t>
            </w:r>
          </w:p>
        </w:tc>
        <w:tc>
          <w:tcPr>
            <w:tcW w:w="2232" w:type="dxa"/>
            <w:tcMar>
              <w:top w:w="55" w:type="dxa"/>
              <w:left w:w="55" w:type="dxa"/>
              <w:bottom w:w="55" w:type="dxa"/>
              <w:right w:w="55" w:type="dxa"/>
            </w:tcMar>
            <w:vAlign w:val="center"/>
          </w:tcPr>
          <w:p w14:paraId="754F825A" w14:textId="77777777" w:rsidR="0068671C" w:rsidRDefault="00000000" w:rsidP="00C439F9">
            <w:r>
              <w:t>How many undocumented students are already immune?</w:t>
            </w:r>
          </w:p>
        </w:tc>
        <w:tc>
          <w:tcPr>
            <w:tcW w:w="2088" w:type="dxa"/>
            <w:tcMar>
              <w:top w:w="55" w:type="dxa"/>
              <w:left w:w="55" w:type="dxa"/>
              <w:bottom w:w="55" w:type="dxa"/>
              <w:right w:w="55" w:type="dxa"/>
            </w:tcMar>
            <w:vAlign w:val="center"/>
          </w:tcPr>
          <w:p w14:paraId="0648A31F" w14:textId="77777777" w:rsidR="0068671C" w:rsidRDefault="00000000" w:rsidP="00C439F9">
            <w:r>
              <w:t>Requires school consent, staffing, and cold chain</w:t>
            </w:r>
          </w:p>
        </w:tc>
      </w:tr>
      <w:tr w:rsidR="0068671C" w14:paraId="2A4294BB" w14:textId="77777777">
        <w:trPr>
          <w:cantSplit/>
          <w:jc w:val="center"/>
        </w:trPr>
        <w:tc>
          <w:tcPr>
            <w:tcW w:w="1800" w:type="dxa"/>
            <w:shd w:val="clear" w:color="auto" w:fill="F3F6F8"/>
            <w:tcMar>
              <w:top w:w="55" w:type="dxa"/>
              <w:left w:w="55" w:type="dxa"/>
              <w:bottom w:w="55" w:type="dxa"/>
              <w:right w:w="55" w:type="dxa"/>
            </w:tcMar>
            <w:vAlign w:val="center"/>
          </w:tcPr>
          <w:p w14:paraId="2EF3A232" w14:textId="77777777" w:rsidR="0068671C" w:rsidRDefault="00000000" w:rsidP="00C439F9">
            <w:r>
              <w:t>Mobile/community clinics</w:t>
            </w:r>
          </w:p>
        </w:tc>
        <w:tc>
          <w:tcPr>
            <w:tcW w:w="1224" w:type="dxa"/>
            <w:shd w:val="clear" w:color="auto" w:fill="F3F6F8"/>
            <w:tcMar>
              <w:top w:w="55" w:type="dxa"/>
              <w:left w:w="55" w:type="dxa"/>
              <w:bottom w:w="55" w:type="dxa"/>
              <w:right w:w="55" w:type="dxa"/>
            </w:tcMar>
            <w:vAlign w:val="center"/>
          </w:tcPr>
          <w:p w14:paraId="53A23274" w14:textId="77777777" w:rsidR="0068671C" w:rsidRDefault="00000000" w:rsidP="00C439F9">
            <w:r>
              <w:t>$410,000</w:t>
            </w:r>
          </w:p>
        </w:tc>
        <w:tc>
          <w:tcPr>
            <w:tcW w:w="1800" w:type="dxa"/>
            <w:shd w:val="clear" w:color="auto" w:fill="F3F6F8"/>
            <w:tcMar>
              <w:top w:w="55" w:type="dxa"/>
              <w:left w:w="55" w:type="dxa"/>
              <w:bottom w:w="55" w:type="dxa"/>
              <w:right w:w="55" w:type="dxa"/>
            </w:tcMar>
            <w:vAlign w:val="center"/>
          </w:tcPr>
          <w:p w14:paraId="10766143" w14:textId="77777777" w:rsidR="0068671C" w:rsidRDefault="00000000" w:rsidP="00C439F9">
            <w:r>
              <w:t>7,500 vaccinations; 36 evening events</w:t>
            </w:r>
          </w:p>
        </w:tc>
        <w:tc>
          <w:tcPr>
            <w:tcW w:w="2232" w:type="dxa"/>
            <w:shd w:val="clear" w:color="auto" w:fill="F3F6F8"/>
            <w:tcMar>
              <w:top w:w="55" w:type="dxa"/>
              <w:left w:w="55" w:type="dxa"/>
              <w:bottom w:w="55" w:type="dxa"/>
              <w:right w:w="55" w:type="dxa"/>
            </w:tcMar>
            <w:vAlign w:val="center"/>
          </w:tcPr>
          <w:p w14:paraId="287E0801" w14:textId="77777777" w:rsidR="0068671C" w:rsidRDefault="00000000" w:rsidP="00C439F9">
            <w:r>
              <w:t>Will low-coverage groups attend county-sponsored events?</w:t>
            </w:r>
          </w:p>
        </w:tc>
        <w:tc>
          <w:tcPr>
            <w:tcW w:w="2088" w:type="dxa"/>
            <w:shd w:val="clear" w:color="auto" w:fill="F3F6F8"/>
            <w:tcMar>
              <w:top w:w="55" w:type="dxa"/>
              <w:left w:w="55" w:type="dxa"/>
              <w:bottom w:w="55" w:type="dxa"/>
              <w:right w:w="55" w:type="dxa"/>
            </w:tcMar>
            <w:vAlign w:val="center"/>
          </w:tcPr>
          <w:p w14:paraId="0605DED7" w14:textId="77777777" w:rsidR="0068671C" w:rsidRDefault="00000000" w:rsidP="00C439F9">
            <w:r>
              <w:t>Sites and trusted partners vary by neighborhood</w:t>
            </w:r>
          </w:p>
        </w:tc>
      </w:tr>
      <w:tr w:rsidR="0068671C" w14:paraId="726CD648" w14:textId="77777777">
        <w:trPr>
          <w:cantSplit/>
          <w:jc w:val="center"/>
        </w:trPr>
        <w:tc>
          <w:tcPr>
            <w:tcW w:w="1800" w:type="dxa"/>
            <w:tcMar>
              <w:top w:w="55" w:type="dxa"/>
              <w:left w:w="55" w:type="dxa"/>
              <w:bottom w:w="55" w:type="dxa"/>
              <w:right w:w="55" w:type="dxa"/>
            </w:tcMar>
            <w:vAlign w:val="center"/>
          </w:tcPr>
          <w:p w14:paraId="57508D5E" w14:textId="77777777" w:rsidR="0068671C" w:rsidRDefault="00000000" w:rsidP="00C439F9">
            <w:r>
              <w:t>Record-reconciliation team</w:t>
            </w:r>
          </w:p>
        </w:tc>
        <w:tc>
          <w:tcPr>
            <w:tcW w:w="1224" w:type="dxa"/>
            <w:tcMar>
              <w:top w:w="55" w:type="dxa"/>
              <w:left w:w="55" w:type="dxa"/>
              <w:bottom w:w="55" w:type="dxa"/>
              <w:right w:w="55" w:type="dxa"/>
            </w:tcMar>
            <w:vAlign w:val="center"/>
          </w:tcPr>
          <w:p w14:paraId="484C3B45" w14:textId="77777777" w:rsidR="0068671C" w:rsidRDefault="00000000" w:rsidP="00C439F9">
            <w:r>
              <w:t>$280,000</w:t>
            </w:r>
          </w:p>
        </w:tc>
        <w:tc>
          <w:tcPr>
            <w:tcW w:w="1800" w:type="dxa"/>
            <w:tcMar>
              <w:top w:w="55" w:type="dxa"/>
              <w:left w:w="55" w:type="dxa"/>
              <w:bottom w:w="55" w:type="dxa"/>
              <w:right w:w="55" w:type="dxa"/>
            </w:tcMar>
            <w:vAlign w:val="center"/>
          </w:tcPr>
          <w:p w14:paraId="2F8AA407" w14:textId="77777777" w:rsidR="0068671C" w:rsidRDefault="00000000" w:rsidP="00C439F9">
            <w:r>
              <w:t>25,000 student records reviewed</w:t>
            </w:r>
          </w:p>
        </w:tc>
        <w:tc>
          <w:tcPr>
            <w:tcW w:w="2232" w:type="dxa"/>
            <w:tcMar>
              <w:top w:w="55" w:type="dxa"/>
              <w:left w:w="55" w:type="dxa"/>
              <w:bottom w:w="55" w:type="dxa"/>
              <w:right w:w="55" w:type="dxa"/>
            </w:tcMar>
            <w:vAlign w:val="center"/>
          </w:tcPr>
          <w:p w14:paraId="74C371D6" w14:textId="77777777" w:rsidR="0068671C" w:rsidRDefault="00000000" w:rsidP="00C439F9">
            <w:r>
              <w:t>Will better records materially change risk estimates?</w:t>
            </w:r>
          </w:p>
        </w:tc>
        <w:tc>
          <w:tcPr>
            <w:tcW w:w="2088" w:type="dxa"/>
            <w:tcMar>
              <w:top w:w="55" w:type="dxa"/>
              <w:left w:w="55" w:type="dxa"/>
              <w:bottom w:w="55" w:type="dxa"/>
              <w:right w:w="55" w:type="dxa"/>
            </w:tcMar>
            <w:vAlign w:val="center"/>
          </w:tcPr>
          <w:p w14:paraId="08F32205" w14:textId="77777777" w:rsidR="0068671C" w:rsidRDefault="00000000" w:rsidP="00C439F9">
            <w:r>
              <w:t>Data-sharing and manual verification</w:t>
            </w:r>
          </w:p>
        </w:tc>
      </w:tr>
      <w:tr w:rsidR="0068671C" w14:paraId="6A32C5D7" w14:textId="77777777">
        <w:trPr>
          <w:cantSplit/>
          <w:jc w:val="center"/>
        </w:trPr>
        <w:tc>
          <w:tcPr>
            <w:tcW w:w="1800" w:type="dxa"/>
            <w:shd w:val="clear" w:color="auto" w:fill="F3F6F8"/>
            <w:tcMar>
              <w:top w:w="55" w:type="dxa"/>
              <w:left w:w="55" w:type="dxa"/>
              <w:bottom w:w="55" w:type="dxa"/>
              <w:right w:w="55" w:type="dxa"/>
            </w:tcMar>
            <w:vAlign w:val="center"/>
          </w:tcPr>
          <w:p w14:paraId="54657866" w14:textId="77777777" w:rsidR="0068671C" w:rsidRDefault="00000000" w:rsidP="00C439F9">
            <w:r>
              <w:t>Clinical isolation support</w:t>
            </w:r>
          </w:p>
        </w:tc>
        <w:tc>
          <w:tcPr>
            <w:tcW w:w="1224" w:type="dxa"/>
            <w:shd w:val="clear" w:color="auto" w:fill="F3F6F8"/>
            <w:tcMar>
              <w:top w:w="55" w:type="dxa"/>
              <w:left w:w="55" w:type="dxa"/>
              <w:bottom w:w="55" w:type="dxa"/>
              <w:right w:w="55" w:type="dxa"/>
            </w:tcMar>
            <w:vAlign w:val="center"/>
          </w:tcPr>
          <w:p w14:paraId="53C8BECA" w14:textId="77777777" w:rsidR="0068671C" w:rsidRDefault="00000000" w:rsidP="00C439F9">
            <w:r>
              <w:t>$360,000</w:t>
            </w:r>
          </w:p>
        </w:tc>
        <w:tc>
          <w:tcPr>
            <w:tcW w:w="1800" w:type="dxa"/>
            <w:shd w:val="clear" w:color="auto" w:fill="F3F6F8"/>
            <w:tcMar>
              <w:top w:w="55" w:type="dxa"/>
              <w:left w:w="55" w:type="dxa"/>
              <w:bottom w:w="55" w:type="dxa"/>
              <w:right w:w="55" w:type="dxa"/>
            </w:tcMar>
            <w:vAlign w:val="center"/>
          </w:tcPr>
          <w:p w14:paraId="574C2E23" w14:textId="77777777" w:rsidR="0068671C" w:rsidRDefault="00000000" w:rsidP="00C439F9">
            <w:r>
              <w:t>12 facilities equipped and trained</w:t>
            </w:r>
          </w:p>
        </w:tc>
        <w:tc>
          <w:tcPr>
            <w:tcW w:w="2232" w:type="dxa"/>
            <w:shd w:val="clear" w:color="auto" w:fill="F3F6F8"/>
            <w:tcMar>
              <w:top w:w="55" w:type="dxa"/>
              <w:left w:w="55" w:type="dxa"/>
              <w:bottom w:w="55" w:type="dxa"/>
              <w:right w:w="55" w:type="dxa"/>
            </w:tcMar>
            <w:vAlign w:val="center"/>
          </w:tcPr>
          <w:p w14:paraId="2092DDFE" w14:textId="77777777" w:rsidR="0068671C" w:rsidRDefault="00000000" w:rsidP="00C439F9">
            <w:r>
              <w:t>How many suspected cases will seek care?</w:t>
            </w:r>
          </w:p>
        </w:tc>
        <w:tc>
          <w:tcPr>
            <w:tcW w:w="2088" w:type="dxa"/>
            <w:shd w:val="clear" w:color="auto" w:fill="F3F6F8"/>
            <w:tcMar>
              <w:top w:w="55" w:type="dxa"/>
              <w:left w:w="55" w:type="dxa"/>
              <w:bottom w:w="55" w:type="dxa"/>
              <w:right w:w="55" w:type="dxa"/>
            </w:tcMar>
            <w:vAlign w:val="center"/>
          </w:tcPr>
          <w:p w14:paraId="3D5B149E" w14:textId="77777777" w:rsidR="0068671C" w:rsidRDefault="00000000" w:rsidP="00C439F9">
            <w:r>
              <w:t>Hospital and practice workflows differ</w:t>
            </w:r>
          </w:p>
        </w:tc>
      </w:tr>
      <w:tr w:rsidR="0068671C" w14:paraId="64C56614" w14:textId="77777777">
        <w:trPr>
          <w:cantSplit/>
          <w:jc w:val="center"/>
        </w:trPr>
        <w:tc>
          <w:tcPr>
            <w:tcW w:w="1800" w:type="dxa"/>
            <w:tcMar>
              <w:top w:w="55" w:type="dxa"/>
              <w:left w:w="55" w:type="dxa"/>
              <w:bottom w:w="55" w:type="dxa"/>
              <w:right w:w="55" w:type="dxa"/>
            </w:tcMar>
            <w:vAlign w:val="center"/>
          </w:tcPr>
          <w:p w14:paraId="38DCBE25" w14:textId="77777777" w:rsidR="0068671C" w:rsidRDefault="00000000" w:rsidP="00C439F9">
            <w:r>
              <w:t>Communication and messengers</w:t>
            </w:r>
          </w:p>
        </w:tc>
        <w:tc>
          <w:tcPr>
            <w:tcW w:w="1224" w:type="dxa"/>
            <w:tcMar>
              <w:top w:w="55" w:type="dxa"/>
              <w:left w:w="55" w:type="dxa"/>
              <w:bottom w:w="55" w:type="dxa"/>
              <w:right w:w="55" w:type="dxa"/>
            </w:tcMar>
            <w:vAlign w:val="center"/>
          </w:tcPr>
          <w:p w14:paraId="077760A5" w14:textId="77777777" w:rsidR="0068671C" w:rsidRDefault="00000000" w:rsidP="00C439F9">
            <w:r>
              <w:t>$240,000</w:t>
            </w:r>
          </w:p>
        </w:tc>
        <w:tc>
          <w:tcPr>
            <w:tcW w:w="1800" w:type="dxa"/>
            <w:tcMar>
              <w:top w:w="55" w:type="dxa"/>
              <w:left w:w="55" w:type="dxa"/>
              <w:bottom w:w="55" w:type="dxa"/>
              <w:right w:w="55" w:type="dxa"/>
            </w:tcMar>
            <w:vAlign w:val="center"/>
          </w:tcPr>
          <w:p w14:paraId="09C34D32" w14:textId="77777777" w:rsidR="0068671C" w:rsidRDefault="00000000" w:rsidP="00C439F9">
            <w:r>
              <w:t>Multilingual campaign; 40 partner grants</w:t>
            </w:r>
          </w:p>
        </w:tc>
        <w:tc>
          <w:tcPr>
            <w:tcW w:w="2232" w:type="dxa"/>
            <w:tcMar>
              <w:top w:w="55" w:type="dxa"/>
              <w:left w:w="55" w:type="dxa"/>
              <w:bottom w:w="55" w:type="dxa"/>
              <w:right w:w="55" w:type="dxa"/>
            </w:tcMar>
            <w:vAlign w:val="center"/>
          </w:tcPr>
          <w:p w14:paraId="247533EF" w14:textId="77777777" w:rsidR="0068671C" w:rsidRDefault="00000000" w:rsidP="00C439F9">
            <w:r>
              <w:t>Could messaging increase resistance or stigma?</w:t>
            </w:r>
          </w:p>
        </w:tc>
        <w:tc>
          <w:tcPr>
            <w:tcW w:w="2088" w:type="dxa"/>
            <w:tcMar>
              <w:top w:w="55" w:type="dxa"/>
              <w:left w:w="55" w:type="dxa"/>
              <w:bottom w:w="55" w:type="dxa"/>
              <w:right w:w="55" w:type="dxa"/>
            </w:tcMar>
            <w:vAlign w:val="center"/>
          </w:tcPr>
          <w:p w14:paraId="3F561737" w14:textId="77777777" w:rsidR="0068671C" w:rsidRDefault="00000000" w:rsidP="00C439F9">
            <w:r>
              <w:t>Impact is difficult to attribute</w:t>
            </w:r>
          </w:p>
        </w:tc>
      </w:tr>
      <w:tr w:rsidR="0068671C" w14:paraId="33B8447F" w14:textId="77777777">
        <w:trPr>
          <w:cantSplit/>
          <w:jc w:val="center"/>
        </w:trPr>
        <w:tc>
          <w:tcPr>
            <w:tcW w:w="1800" w:type="dxa"/>
            <w:shd w:val="clear" w:color="auto" w:fill="F3F6F8"/>
            <w:tcMar>
              <w:top w:w="55" w:type="dxa"/>
              <w:left w:w="55" w:type="dxa"/>
              <w:bottom w:w="55" w:type="dxa"/>
              <w:right w:w="55" w:type="dxa"/>
            </w:tcMar>
            <w:vAlign w:val="center"/>
          </w:tcPr>
          <w:p w14:paraId="03EA09F3" w14:textId="77777777" w:rsidR="0068671C" w:rsidRDefault="00000000" w:rsidP="00C439F9">
            <w:r>
              <w:t>Expanded tracing reserve</w:t>
            </w:r>
          </w:p>
        </w:tc>
        <w:tc>
          <w:tcPr>
            <w:tcW w:w="1224" w:type="dxa"/>
            <w:shd w:val="clear" w:color="auto" w:fill="F3F6F8"/>
            <w:tcMar>
              <w:top w:w="55" w:type="dxa"/>
              <w:left w:w="55" w:type="dxa"/>
              <w:bottom w:w="55" w:type="dxa"/>
              <w:right w:w="55" w:type="dxa"/>
            </w:tcMar>
            <w:vAlign w:val="center"/>
          </w:tcPr>
          <w:p w14:paraId="448C6C58" w14:textId="77777777" w:rsidR="0068671C" w:rsidRDefault="00000000" w:rsidP="00C439F9">
            <w:r>
              <w:t>$510,000</w:t>
            </w:r>
          </w:p>
        </w:tc>
        <w:tc>
          <w:tcPr>
            <w:tcW w:w="1800" w:type="dxa"/>
            <w:shd w:val="clear" w:color="auto" w:fill="F3F6F8"/>
            <w:tcMar>
              <w:top w:w="55" w:type="dxa"/>
              <w:left w:w="55" w:type="dxa"/>
              <w:bottom w:w="55" w:type="dxa"/>
              <w:right w:w="55" w:type="dxa"/>
            </w:tcMar>
            <w:vAlign w:val="center"/>
          </w:tcPr>
          <w:p w14:paraId="5A25473B" w14:textId="77777777" w:rsidR="0068671C" w:rsidRDefault="00000000" w:rsidP="00C439F9">
            <w:r>
              <w:t>Up to 1,800 contacts monitored</w:t>
            </w:r>
          </w:p>
        </w:tc>
        <w:tc>
          <w:tcPr>
            <w:tcW w:w="2232" w:type="dxa"/>
            <w:shd w:val="clear" w:color="auto" w:fill="F3F6F8"/>
            <w:tcMar>
              <w:top w:w="55" w:type="dxa"/>
              <w:left w:w="55" w:type="dxa"/>
              <w:bottom w:w="55" w:type="dxa"/>
              <w:right w:w="55" w:type="dxa"/>
            </w:tcMar>
            <w:vAlign w:val="center"/>
          </w:tcPr>
          <w:p w14:paraId="632A8569" w14:textId="77777777" w:rsidR="0068671C" w:rsidRDefault="00000000" w:rsidP="00C439F9">
            <w:r>
              <w:t>Number and complexity of future cases</w:t>
            </w:r>
          </w:p>
        </w:tc>
        <w:tc>
          <w:tcPr>
            <w:tcW w:w="2088" w:type="dxa"/>
            <w:shd w:val="clear" w:color="auto" w:fill="F3F6F8"/>
            <w:tcMar>
              <w:top w:w="55" w:type="dxa"/>
              <w:left w:w="55" w:type="dxa"/>
              <w:bottom w:w="55" w:type="dxa"/>
              <w:right w:w="55" w:type="dxa"/>
            </w:tcMar>
            <w:vAlign w:val="center"/>
          </w:tcPr>
          <w:p w14:paraId="714D0B52" w14:textId="77777777" w:rsidR="0068671C" w:rsidRDefault="00000000" w:rsidP="00C439F9">
            <w:r>
              <w:t>Labor-intensive; demand may disappear or surge</w:t>
            </w:r>
          </w:p>
        </w:tc>
      </w:tr>
    </w:tbl>
    <w:p w14:paraId="3F2891C8" w14:textId="77777777" w:rsidR="0068671C" w:rsidRDefault="00000000" w:rsidP="00C439F9">
      <w:pPr>
        <w:pStyle w:val="Heading1"/>
      </w:pPr>
      <w:r>
        <w:t>Possible directions—not mutually exclusive</w:t>
      </w:r>
    </w:p>
    <w:p w14:paraId="126D70BD" w14:textId="77777777" w:rsidR="0068671C" w:rsidRDefault="00000000" w:rsidP="00C439F9">
      <w:r>
        <w:t>Contain the current exposure. Concentrate resources on tracing, post-exposure prophylaxis, school record checks, and clinical isolation; avoid a broader campaign unless secondary cases appear.</w:t>
      </w:r>
    </w:p>
    <w:p w14:paraId="0B8AB64A" w14:textId="77777777" w:rsidR="0068671C" w:rsidRDefault="00000000" w:rsidP="00C439F9">
      <w:r>
        <w:t xml:space="preserve">Close documented access gaps. Expand convenient vaccination and record retrieval in low-coverage schools, regardless of </w:t>
      </w:r>
      <w:proofErr w:type="gramStart"/>
      <w:r>
        <w:t>families’</w:t>
      </w:r>
      <w:proofErr w:type="gramEnd"/>
      <w:r>
        <w:t xml:space="preserve"> stated beliefs.</w:t>
      </w:r>
    </w:p>
    <w:p w14:paraId="637FEE20" w14:textId="77777777" w:rsidR="0068671C" w:rsidRDefault="00000000" w:rsidP="00C439F9">
      <w:r>
        <w:t>Use stronger school enforcement. Tighten deadlines and exclusion practices to increase documented immunity, accepting political and educational disruption.</w:t>
      </w:r>
    </w:p>
    <w:p w14:paraId="3DDF3923" w14:textId="77777777" w:rsidR="0068671C" w:rsidRDefault="00000000" w:rsidP="00C439F9">
      <w:r>
        <w:t>Invest in trust and relationships. Fund local organizations and clinicians to engage hesitant families over time, even though measurable results may be slow and uncertain.</w:t>
      </w:r>
    </w:p>
    <w:p w14:paraId="379FC2B1" w14:textId="77777777" w:rsidR="0068671C" w:rsidRDefault="00000000" w:rsidP="00C439F9">
      <w:r>
        <w:t>Adopt a risk-triggered portfolio. Predefine thresholds—new cases, exposure settings, school coverage, hospital capacity—that automatically expand or contract interventions.</w:t>
      </w:r>
    </w:p>
    <w:p w14:paraId="06FCC504" w14:textId="77777777" w:rsidR="0068671C" w:rsidRDefault="00000000" w:rsidP="00C439F9">
      <w:pPr>
        <w:pStyle w:val="Heading1"/>
      </w:pPr>
      <w:r>
        <w:t>What would success mean?</w:t>
      </w:r>
    </w:p>
    <w:p w14:paraId="2A1ECD39" w14:textId="77777777" w:rsidR="0068671C" w:rsidRDefault="00000000" w:rsidP="00C439F9">
      <w:r>
        <w:t>The stakeholders did not agree on the objective. Epidemiologists emphasized preventing secondary transmission. Schools wanted attendance stability and clear rules. Hospitals prioritized safe triage and avoided exposures. Parents focused on child safety, autonomy, or both. Community groups emphasized trust and equitable access. Finance officials wanted to know the cost per vaccination, per verified record, per case detected, or per infection prevented—although the last measure could never be observed directly.</w:t>
      </w:r>
    </w:p>
    <w:p w14:paraId="7AB3C1F8" w14:textId="77777777" w:rsidR="0068671C" w:rsidRDefault="00000000" w:rsidP="00C439F9">
      <w:r>
        <w:t>Patel also faced a timing problem. A forceful response might appear wasteful if no second case occurred. A restrained response might appear prudent—until delayed recognition allowed transmission across several schools. Better data could reduce uncertainty, but waiting for better data was itself a decision.</w:t>
      </w:r>
    </w:p>
    <w:p w14:paraId="5CF11200" w14:textId="77777777" w:rsidR="00C439F9" w:rsidRDefault="00C439F9">
      <w:pPr>
        <w:spacing w:after="200" w:line="276" w:lineRule="auto"/>
        <w:rPr>
          <w:rFonts w:asciiTheme="majorHAnsi" w:eastAsiaTheme="majorEastAsia" w:hAnsiTheme="majorHAnsi" w:cstheme="majorBidi"/>
          <w:b/>
          <w:bCs/>
          <w:color w:val="17365D"/>
          <w:sz w:val="28"/>
          <w:szCs w:val="28"/>
        </w:rPr>
      </w:pPr>
      <w:r>
        <w:br w:type="page"/>
      </w:r>
    </w:p>
    <w:p w14:paraId="5D25451F" w14:textId="7E2E9AAE" w:rsidR="0068671C" w:rsidRDefault="00000000" w:rsidP="00C439F9">
      <w:pPr>
        <w:pStyle w:val="Heading1"/>
      </w:pPr>
      <w:r>
        <w:lastRenderedPageBreak/>
        <w:t>Exhibit 1. Harbor County vaccination indicators</w:t>
      </w:r>
    </w:p>
    <w:p w14:paraId="79D9A42E" w14:textId="77777777" w:rsidR="0068671C" w:rsidRDefault="00000000">
      <w:pPr>
        <w:pStyle w:val="CaseDeck"/>
      </w:pPr>
      <w:r>
        <w:t>*2026 figures reflect records available as of July 15. All Harbor County figures are fictional.</w:t>
      </w:r>
    </w:p>
    <w:tbl>
      <w:tblPr>
        <w:tblStyle w:val="TableGrid"/>
        <w:tblW w:w="0" w:type="auto"/>
        <w:jc w:val="center"/>
        <w:tblLayout w:type="fixed"/>
        <w:tblLook w:val="04A0" w:firstRow="1" w:lastRow="0" w:firstColumn="1" w:lastColumn="0" w:noHBand="0" w:noVBand="1"/>
      </w:tblPr>
      <w:tblGrid>
        <w:gridCol w:w="3024"/>
        <w:gridCol w:w="1224"/>
        <w:gridCol w:w="1224"/>
        <w:gridCol w:w="1224"/>
        <w:gridCol w:w="1224"/>
        <w:gridCol w:w="1224"/>
      </w:tblGrid>
      <w:tr w:rsidR="0068671C" w14:paraId="587692BE" w14:textId="77777777">
        <w:trPr>
          <w:cantSplit/>
          <w:tblHeader/>
          <w:jc w:val="center"/>
        </w:trPr>
        <w:tc>
          <w:tcPr>
            <w:tcW w:w="3024" w:type="dxa"/>
            <w:shd w:val="clear" w:color="auto" w:fill="315B7D"/>
            <w:tcMar>
              <w:top w:w="55" w:type="dxa"/>
              <w:left w:w="55" w:type="dxa"/>
              <w:bottom w:w="55" w:type="dxa"/>
              <w:right w:w="55" w:type="dxa"/>
            </w:tcMar>
            <w:vAlign w:val="center"/>
          </w:tcPr>
          <w:p w14:paraId="2D7C6476" w14:textId="77777777" w:rsidR="0068671C" w:rsidRDefault="00000000" w:rsidP="00C439F9">
            <w:r>
              <w:t>Indicator</w:t>
            </w:r>
          </w:p>
        </w:tc>
        <w:tc>
          <w:tcPr>
            <w:tcW w:w="1224" w:type="dxa"/>
            <w:shd w:val="clear" w:color="auto" w:fill="315B7D"/>
            <w:tcMar>
              <w:top w:w="55" w:type="dxa"/>
              <w:left w:w="55" w:type="dxa"/>
              <w:bottom w:w="55" w:type="dxa"/>
              <w:right w:w="55" w:type="dxa"/>
            </w:tcMar>
            <w:vAlign w:val="center"/>
          </w:tcPr>
          <w:p w14:paraId="1826BE23" w14:textId="77777777" w:rsidR="0068671C" w:rsidRDefault="00000000" w:rsidP="00C439F9">
            <w:r>
              <w:t>2021–22</w:t>
            </w:r>
          </w:p>
        </w:tc>
        <w:tc>
          <w:tcPr>
            <w:tcW w:w="1224" w:type="dxa"/>
            <w:shd w:val="clear" w:color="auto" w:fill="315B7D"/>
            <w:tcMar>
              <w:top w:w="55" w:type="dxa"/>
              <w:left w:w="55" w:type="dxa"/>
              <w:bottom w:w="55" w:type="dxa"/>
              <w:right w:w="55" w:type="dxa"/>
            </w:tcMar>
            <w:vAlign w:val="center"/>
          </w:tcPr>
          <w:p w14:paraId="21591231" w14:textId="77777777" w:rsidR="0068671C" w:rsidRDefault="00000000" w:rsidP="00C439F9">
            <w:r>
              <w:t>2022–23</w:t>
            </w:r>
          </w:p>
        </w:tc>
        <w:tc>
          <w:tcPr>
            <w:tcW w:w="1224" w:type="dxa"/>
            <w:shd w:val="clear" w:color="auto" w:fill="315B7D"/>
            <w:tcMar>
              <w:top w:w="55" w:type="dxa"/>
              <w:left w:w="55" w:type="dxa"/>
              <w:bottom w:w="55" w:type="dxa"/>
              <w:right w:w="55" w:type="dxa"/>
            </w:tcMar>
            <w:vAlign w:val="center"/>
          </w:tcPr>
          <w:p w14:paraId="711BB498" w14:textId="77777777" w:rsidR="0068671C" w:rsidRDefault="00000000" w:rsidP="00C439F9">
            <w:r>
              <w:t>2023–24</w:t>
            </w:r>
          </w:p>
        </w:tc>
        <w:tc>
          <w:tcPr>
            <w:tcW w:w="1224" w:type="dxa"/>
            <w:shd w:val="clear" w:color="auto" w:fill="315B7D"/>
            <w:tcMar>
              <w:top w:w="55" w:type="dxa"/>
              <w:left w:w="55" w:type="dxa"/>
              <w:bottom w:w="55" w:type="dxa"/>
              <w:right w:w="55" w:type="dxa"/>
            </w:tcMar>
            <w:vAlign w:val="center"/>
          </w:tcPr>
          <w:p w14:paraId="4EEC2068" w14:textId="77777777" w:rsidR="0068671C" w:rsidRDefault="00000000" w:rsidP="00C439F9">
            <w:r>
              <w:t>2024–25</w:t>
            </w:r>
          </w:p>
        </w:tc>
        <w:tc>
          <w:tcPr>
            <w:tcW w:w="1224" w:type="dxa"/>
            <w:shd w:val="clear" w:color="auto" w:fill="315B7D"/>
            <w:tcMar>
              <w:top w:w="55" w:type="dxa"/>
              <w:left w:w="55" w:type="dxa"/>
              <w:bottom w:w="55" w:type="dxa"/>
              <w:right w:w="55" w:type="dxa"/>
            </w:tcMar>
            <w:vAlign w:val="center"/>
          </w:tcPr>
          <w:p w14:paraId="53A412EB" w14:textId="77777777" w:rsidR="0068671C" w:rsidRDefault="00000000" w:rsidP="00C439F9">
            <w:r>
              <w:t>2025–26*</w:t>
            </w:r>
          </w:p>
        </w:tc>
      </w:tr>
      <w:tr w:rsidR="0068671C" w14:paraId="54A53E86" w14:textId="77777777">
        <w:trPr>
          <w:cantSplit/>
          <w:jc w:val="center"/>
        </w:trPr>
        <w:tc>
          <w:tcPr>
            <w:tcW w:w="3024" w:type="dxa"/>
            <w:tcMar>
              <w:top w:w="55" w:type="dxa"/>
              <w:left w:w="55" w:type="dxa"/>
              <w:bottom w:w="55" w:type="dxa"/>
              <w:right w:w="55" w:type="dxa"/>
            </w:tcMar>
            <w:vAlign w:val="center"/>
          </w:tcPr>
          <w:p w14:paraId="57E866E7" w14:textId="77777777" w:rsidR="0068671C" w:rsidRDefault="00000000" w:rsidP="00C439F9">
            <w:r>
              <w:t>Kindergarten MMR coverage</w:t>
            </w:r>
          </w:p>
        </w:tc>
        <w:tc>
          <w:tcPr>
            <w:tcW w:w="1224" w:type="dxa"/>
            <w:tcMar>
              <w:top w:w="55" w:type="dxa"/>
              <w:left w:w="55" w:type="dxa"/>
              <w:bottom w:w="55" w:type="dxa"/>
              <w:right w:w="55" w:type="dxa"/>
            </w:tcMar>
            <w:vAlign w:val="center"/>
          </w:tcPr>
          <w:p w14:paraId="09C08AA2" w14:textId="77777777" w:rsidR="0068671C" w:rsidRDefault="00000000" w:rsidP="00C439F9">
            <w:r>
              <w:t>94.8%</w:t>
            </w:r>
          </w:p>
        </w:tc>
        <w:tc>
          <w:tcPr>
            <w:tcW w:w="1224" w:type="dxa"/>
            <w:tcMar>
              <w:top w:w="55" w:type="dxa"/>
              <w:left w:w="55" w:type="dxa"/>
              <w:bottom w:w="55" w:type="dxa"/>
              <w:right w:w="55" w:type="dxa"/>
            </w:tcMar>
            <w:vAlign w:val="center"/>
          </w:tcPr>
          <w:p w14:paraId="3A930CBE" w14:textId="77777777" w:rsidR="0068671C" w:rsidRDefault="00000000" w:rsidP="00C439F9">
            <w:r>
              <w:t>94.1%</w:t>
            </w:r>
          </w:p>
        </w:tc>
        <w:tc>
          <w:tcPr>
            <w:tcW w:w="1224" w:type="dxa"/>
            <w:tcMar>
              <w:top w:w="55" w:type="dxa"/>
              <w:left w:w="55" w:type="dxa"/>
              <w:bottom w:w="55" w:type="dxa"/>
              <w:right w:w="55" w:type="dxa"/>
            </w:tcMar>
            <w:vAlign w:val="center"/>
          </w:tcPr>
          <w:p w14:paraId="365CAF17" w14:textId="77777777" w:rsidR="0068671C" w:rsidRDefault="00000000" w:rsidP="00C439F9">
            <w:r>
              <w:t>93.0%</w:t>
            </w:r>
          </w:p>
        </w:tc>
        <w:tc>
          <w:tcPr>
            <w:tcW w:w="1224" w:type="dxa"/>
            <w:tcMar>
              <w:top w:w="55" w:type="dxa"/>
              <w:left w:w="55" w:type="dxa"/>
              <w:bottom w:w="55" w:type="dxa"/>
              <w:right w:w="55" w:type="dxa"/>
            </w:tcMar>
            <w:vAlign w:val="center"/>
          </w:tcPr>
          <w:p w14:paraId="1CB5C592" w14:textId="77777777" w:rsidR="0068671C" w:rsidRDefault="00000000" w:rsidP="00C439F9">
            <w:r>
              <w:t>92.4%</w:t>
            </w:r>
          </w:p>
        </w:tc>
        <w:tc>
          <w:tcPr>
            <w:tcW w:w="1224" w:type="dxa"/>
            <w:tcMar>
              <w:top w:w="55" w:type="dxa"/>
              <w:left w:w="55" w:type="dxa"/>
              <w:bottom w:w="55" w:type="dxa"/>
              <w:right w:w="55" w:type="dxa"/>
            </w:tcMar>
            <w:vAlign w:val="center"/>
          </w:tcPr>
          <w:p w14:paraId="04693F12" w14:textId="77777777" w:rsidR="0068671C" w:rsidRDefault="00000000" w:rsidP="00C439F9">
            <w:r>
              <w:t>91.8%</w:t>
            </w:r>
          </w:p>
        </w:tc>
      </w:tr>
      <w:tr w:rsidR="0068671C" w14:paraId="6674D57F" w14:textId="77777777">
        <w:trPr>
          <w:cantSplit/>
          <w:jc w:val="center"/>
        </w:trPr>
        <w:tc>
          <w:tcPr>
            <w:tcW w:w="3024" w:type="dxa"/>
            <w:shd w:val="clear" w:color="auto" w:fill="F3F6F8"/>
            <w:tcMar>
              <w:top w:w="55" w:type="dxa"/>
              <w:left w:w="55" w:type="dxa"/>
              <w:bottom w:w="55" w:type="dxa"/>
              <w:right w:w="55" w:type="dxa"/>
            </w:tcMar>
            <w:vAlign w:val="center"/>
          </w:tcPr>
          <w:p w14:paraId="625C823B" w14:textId="77777777" w:rsidR="0068671C" w:rsidRDefault="00000000" w:rsidP="00C439F9">
            <w:r>
              <w:t>Students with exemptions</w:t>
            </w:r>
          </w:p>
        </w:tc>
        <w:tc>
          <w:tcPr>
            <w:tcW w:w="1224" w:type="dxa"/>
            <w:shd w:val="clear" w:color="auto" w:fill="F3F6F8"/>
            <w:tcMar>
              <w:top w:w="55" w:type="dxa"/>
              <w:left w:w="55" w:type="dxa"/>
              <w:bottom w:w="55" w:type="dxa"/>
              <w:right w:w="55" w:type="dxa"/>
            </w:tcMar>
            <w:vAlign w:val="center"/>
          </w:tcPr>
          <w:p w14:paraId="11FCEC53" w14:textId="77777777" w:rsidR="0068671C" w:rsidRDefault="00000000" w:rsidP="00C439F9">
            <w:r>
              <w:t>2.4%</w:t>
            </w:r>
          </w:p>
        </w:tc>
        <w:tc>
          <w:tcPr>
            <w:tcW w:w="1224" w:type="dxa"/>
            <w:shd w:val="clear" w:color="auto" w:fill="F3F6F8"/>
            <w:tcMar>
              <w:top w:w="55" w:type="dxa"/>
              <w:left w:w="55" w:type="dxa"/>
              <w:bottom w:w="55" w:type="dxa"/>
              <w:right w:w="55" w:type="dxa"/>
            </w:tcMar>
            <w:vAlign w:val="center"/>
          </w:tcPr>
          <w:p w14:paraId="2F02EC4B" w14:textId="77777777" w:rsidR="0068671C" w:rsidRDefault="00000000" w:rsidP="00C439F9">
            <w:r>
              <w:t>2.8%</w:t>
            </w:r>
          </w:p>
        </w:tc>
        <w:tc>
          <w:tcPr>
            <w:tcW w:w="1224" w:type="dxa"/>
            <w:shd w:val="clear" w:color="auto" w:fill="F3F6F8"/>
            <w:tcMar>
              <w:top w:w="55" w:type="dxa"/>
              <w:left w:w="55" w:type="dxa"/>
              <w:bottom w:w="55" w:type="dxa"/>
              <w:right w:w="55" w:type="dxa"/>
            </w:tcMar>
            <w:vAlign w:val="center"/>
          </w:tcPr>
          <w:p w14:paraId="1E2FBF4E" w14:textId="77777777" w:rsidR="0068671C" w:rsidRDefault="00000000" w:rsidP="00C439F9">
            <w:r>
              <w:t>3.3%</w:t>
            </w:r>
          </w:p>
        </w:tc>
        <w:tc>
          <w:tcPr>
            <w:tcW w:w="1224" w:type="dxa"/>
            <w:shd w:val="clear" w:color="auto" w:fill="F3F6F8"/>
            <w:tcMar>
              <w:top w:w="55" w:type="dxa"/>
              <w:left w:w="55" w:type="dxa"/>
              <w:bottom w:w="55" w:type="dxa"/>
              <w:right w:w="55" w:type="dxa"/>
            </w:tcMar>
            <w:vAlign w:val="center"/>
          </w:tcPr>
          <w:p w14:paraId="28CAE6CF" w14:textId="77777777" w:rsidR="0068671C" w:rsidRDefault="00000000" w:rsidP="00C439F9">
            <w:r>
              <w:t>3.9%</w:t>
            </w:r>
          </w:p>
        </w:tc>
        <w:tc>
          <w:tcPr>
            <w:tcW w:w="1224" w:type="dxa"/>
            <w:shd w:val="clear" w:color="auto" w:fill="F3F6F8"/>
            <w:tcMar>
              <w:top w:w="55" w:type="dxa"/>
              <w:left w:w="55" w:type="dxa"/>
              <w:bottom w:w="55" w:type="dxa"/>
              <w:right w:w="55" w:type="dxa"/>
            </w:tcMar>
            <w:vAlign w:val="center"/>
          </w:tcPr>
          <w:p w14:paraId="0B055404" w14:textId="77777777" w:rsidR="0068671C" w:rsidRDefault="00000000" w:rsidP="00C439F9">
            <w:r>
              <w:t>4.4%</w:t>
            </w:r>
          </w:p>
        </w:tc>
      </w:tr>
      <w:tr w:rsidR="0068671C" w14:paraId="45BAF73D" w14:textId="77777777">
        <w:trPr>
          <w:cantSplit/>
          <w:jc w:val="center"/>
        </w:trPr>
        <w:tc>
          <w:tcPr>
            <w:tcW w:w="3024" w:type="dxa"/>
            <w:tcMar>
              <w:top w:w="55" w:type="dxa"/>
              <w:left w:w="55" w:type="dxa"/>
              <w:bottom w:w="55" w:type="dxa"/>
              <w:right w:w="55" w:type="dxa"/>
            </w:tcMar>
            <w:vAlign w:val="center"/>
          </w:tcPr>
          <w:p w14:paraId="2B2F643F" w14:textId="77777777" w:rsidR="0068671C" w:rsidRDefault="00000000" w:rsidP="00C439F9">
            <w:r>
              <w:t>Students lacking complete documentation</w:t>
            </w:r>
          </w:p>
        </w:tc>
        <w:tc>
          <w:tcPr>
            <w:tcW w:w="1224" w:type="dxa"/>
            <w:tcMar>
              <w:top w:w="55" w:type="dxa"/>
              <w:left w:w="55" w:type="dxa"/>
              <w:bottom w:w="55" w:type="dxa"/>
              <w:right w:w="55" w:type="dxa"/>
            </w:tcMar>
            <w:vAlign w:val="center"/>
          </w:tcPr>
          <w:p w14:paraId="54258912" w14:textId="77777777" w:rsidR="0068671C" w:rsidRDefault="00000000" w:rsidP="00C439F9">
            <w:r>
              <w:t>5.2%</w:t>
            </w:r>
          </w:p>
        </w:tc>
        <w:tc>
          <w:tcPr>
            <w:tcW w:w="1224" w:type="dxa"/>
            <w:tcMar>
              <w:top w:w="55" w:type="dxa"/>
              <w:left w:w="55" w:type="dxa"/>
              <w:bottom w:w="55" w:type="dxa"/>
              <w:right w:w="55" w:type="dxa"/>
            </w:tcMar>
            <w:vAlign w:val="center"/>
          </w:tcPr>
          <w:p w14:paraId="3F085C9E" w14:textId="77777777" w:rsidR="0068671C" w:rsidRDefault="00000000" w:rsidP="00C439F9">
            <w:r>
              <w:t>5.9%</w:t>
            </w:r>
          </w:p>
        </w:tc>
        <w:tc>
          <w:tcPr>
            <w:tcW w:w="1224" w:type="dxa"/>
            <w:tcMar>
              <w:top w:w="55" w:type="dxa"/>
              <w:left w:w="55" w:type="dxa"/>
              <w:bottom w:w="55" w:type="dxa"/>
              <w:right w:w="55" w:type="dxa"/>
            </w:tcMar>
            <w:vAlign w:val="center"/>
          </w:tcPr>
          <w:p w14:paraId="3ED5F483" w14:textId="77777777" w:rsidR="0068671C" w:rsidRDefault="00000000" w:rsidP="00C439F9">
            <w:r>
              <w:t>7.0%</w:t>
            </w:r>
          </w:p>
        </w:tc>
        <w:tc>
          <w:tcPr>
            <w:tcW w:w="1224" w:type="dxa"/>
            <w:tcMar>
              <w:top w:w="55" w:type="dxa"/>
              <w:left w:w="55" w:type="dxa"/>
              <w:bottom w:w="55" w:type="dxa"/>
              <w:right w:w="55" w:type="dxa"/>
            </w:tcMar>
            <w:vAlign w:val="center"/>
          </w:tcPr>
          <w:p w14:paraId="31121AA2" w14:textId="77777777" w:rsidR="0068671C" w:rsidRDefault="00000000" w:rsidP="00C439F9">
            <w:r>
              <w:t>7.6%</w:t>
            </w:r>
          </w:p>
        </w:tc>
        <w:tc>
          <w:tcPr>
            <w:tcW w:w="1224" w:type="dxa"/>
            <w:tcMar>
              <w:top w:w="55" w:type="dxa"/>
              <w:left w:w="55" w:type="dxa"/>
              <w:bottom w:w="55" w:type="dxa"/>
              <w:right w:w="55" w:type="dxa"/>
            </w:tcMar>
            <w:vAlign w:val="center"/>
          </w:tcPr>
          <w:p w14:paraId="1E9498E9" w14:textId="77777777" w:rsidR="0068671C" w:rsidRDefault="00000000" w:rsidP="00C439F9">
            <w:r>
              <w:t>8.2%</w:t>
            </w:r>
          </w:p>
        </w:tc>
      </w:tr>
      <w:tr w:rsidR="0068671C" w14:paraId="59E7DEF6" w14:textId="77777777">
        <w:trPr>
          <w:cantSplit/>
          <w:jc w:val="center"/>
        </w:trPr>
        <w:tc>
          <w:tcPr>
            <w:tcW w:w="3024" w:type="dxa"/>
            <w:shd w:val="clear" w:color="auto" w:fill="F3F6F8"/>
            <w:tcMar>
              <w:top w:w="55" w:type="dxa"/>
              <w:left w:w="55" w:type="dxa"/>
              <w:bottom w:w="55" w:type="dxa"/>
              <w:right w:w="55" w:type="dxa"/>
            </w:tcMar>
            <w:vAlign w:val="center"/>
          </w:tcPr>
          <w:p w14:paraId="30ABBBC6" w14:textId="77777777" w:rsidR="0068671C" w:rsidRDefault="00000000" w:rsidP="00C439F9">
            <w:r>
              <w:t>Elementary schools below 90% coverage</w:t>
            </w:r>
          </w:p>
        </w:tc>
        <w:tc>
          <w:tcPr>
            <w:tcW w:w="1224" w:type="dxa"/>
            <w:shd w:val="clear" w:color="auto" w:fill="F3F6F8"/>
            <w:tcMar>
              <w:top w:w="55" w:type="dxa"/>
              <w:left w:w="55" w:type="dxa"/>
              <w:bottom w:w="55" w:type="dxa"/>
              <w:right w:w="55" w:type="dxa"/>
            </w:tcMar>
            <w:vAlign w:val="center"/>
          </w:tcPr>
          <w:p w14:paraId="474F61E3" w14:textId="77777777" w:rsidR="0068671C" w:rsidRDefault="00000000" w:rsidP="00C439F9">
            <w:r>
              <w:t>12</w:t>
            </w:r>
          </w:p>
        </w:tc>
        <w:tc>
          <w:tcPr>
            <w:tcW w:w="1224" w:type="dxa"/>
            <w:shd w:val="clear" w:color="auto" w:fill="F3F6F8"/>
            <w:tcMar>
              <w:top w:w="55" w:type="dxa"/>
              <w:left w:w="55" w:type="dxa"/>
              <w:bottom w:w="55" w:type="dxa"/>
              <w:right w:w="55" w:type="dxa"/>
            </w:tcMar>
            <w:vAlign w:val="center"/>
          </w:tcPr>
          <w:p w14:paraId="4B6B1BD4" w14:textId="77777777" w:rsidR="0068671C" w:rsidRDefault="00000000" w:rsidP="00C439F9">
            <w:r>
              <w:t>17</w:t>
            </w:r>
          </w:p>
        </w:tc>
        <w:tc>
          <w:tcPr>
            <w:tcW w:w="1224" w:type="dxa"/>
            <w:shd w:val="clear" w:color="auto" w:fill="F3F6F8"/>
            <w:tcMar>
              <w:top w:w="55" w:type="dxa"/>
              <w:left w:w="55" w:type="dxa"/>
              <w:bottom w:w="55" w:type="dxa"/>
              <w:right w:w="55" w:type="dxa"/>
            </w:tcMar>
            <w:vAlign w:val="center"/>
          </w:tcPr>
          <w:p w14:paraId="6717701A" w14:textId="77777777" w:rsidR="0068671C" w:rsidRDefault="00000000" w:rsidP="00C439F9">
            <w:r>
              <w:t>23</w:t>
            </w:r>
          </w:p>
        </w:tc>
        <w:tc>
          <w:tcPr>
            <w:tcW w:w="1224" w:type="dxa"/>
            <w:shd w:val="clear" w:color="auto" w:fill="F3F6F8"/>
            <w:tcMar>
              <w:top w:w="55" w:type="dxa"/>
              <w:left w:w="55" w:type="dxa"/>
              <w:bottom w:w="55" w:type="dxa"/>
              <w:right w:w="55" w:type="dxa"/>
            </w:tcMar>
            <w:vAlign w:val="center"/>
          </w:tcPr>
          <w:p w14:paraId="0934785B" w14:textId="77777777" w:rsidR="0068671C" w:rsidRDefault="00000000" w:rsidP="00C439F9">
            <w:r>
              <w:t>27</w:t>
            </w:r>
          </w:p>
        </w:tc>
        <w:tc>
          <w:tcPr>
            <w:tcW w:w="1224" w:type="dxa"/>
            <w:shd w:val="clear" w:color="auto" w:fill="F3F6F8"/>
            <w:tcMar>
              <w:top w:w="55" w:type="dxa"/>
              <w:left w:w="55" w:type="dxa"/>
              <w:bottom w:w="55" w:type="dxa"/>
              <w:right w:w="55" w:type="dxa"/>
            </w:tcMar>
            <w:vAlign w:val="center"/>
          </w:tcPr>
          <w:p w14:paraId="3CF9E58B" w14:textId="77777777" w:rsidR="0068671C" w:rsidRDefault="00000000" w:rsidP="00C439F9">
            <w:r>
              <w:t>31</w:t>
            </w:r>
          </w:p>
        </w:tc>
      </w:tr>
      <w:tr w:rsidR="0068671C" w14:paraId="4192A8D8" w14:textId="77777777">
        <w:trPr>
          <w:cantSplit/>
          <w:jc w:val="center"/>
        </w:trPr>
        <w:tc>
          <w:tcPr>
            <w:tcW w:w="3024" w:type="dxa"/>
            <w:tcMar>
              <w:top w:w="55" w:type="dxa"/>
              <w:left w:w="55" w:type="dxa"/>
              <w:bottom w:w="55" w:type="dxa"/>
              <w:right w:w="55" w:type="dxa"/>
            </w:tcMar>
            <w:vAlign w:val="center"/>
          </w:tcPr>
          <w:p w14:paraId="2F615890" w14:textId="77777777" w:rsidR="0068671C" w:rsidRDefault="00000000" w:rsidP="00C439F9">
            <w:r>
              <w:t>Elementary schools below 85% coverage</w:t>
            </w:r>
          </w:p>
        </w:tc>
        <w:tc>
          <w:tcPr>
            <w:tcW w:w="1224" w:type="dxa"/>
            <w:tcMar>
              <w:top w:w="55" w:type="dxa"/>
              <w:left w:w="55" w:type="dxa"/>
              <w:bottom w:w="55" w:type="dxa"/>
              <w:right w:w="55" w:type="dxa"/>
            </w:tcMar>
            <w:vAlign w:val="center"/>
          </w:tcPr>
          <w:p w14:paraId="448F53F2" w14:textId="77777777" w:rsidR="0068671C" w:rsidRDefault="00000000" w:rsidP="00C439F9">
            <w:r>
              <w:t>2</w:t>
            </w:r>
          </w:p>
        </w:tc>
        <w:tc>
          <w:tcPr>
            <w:tcW w:w="1224" w:type="dxa"/>
            <w:tcMar>
              <w:top w:w="55" w:type="dxa"/>
              <w:left w:w="55" w:type="dxa"/>
              <w:bottom w:w="55" w:type="dxa"/>
              <w:right w:w="55" w:type="dxa"/>
            </w:tcMar>
            <w:vAlign w:val="center"/>
          </w:tcPr>
          <w:p w14:paraId="49943744" w14:textId="77777777" w:rsidR="0068671C" w:rsidRDefault="00000000" w:rsidP="00C439F9">
            <w:r>
              <w:t>4</w:t>
            </w:r>
          </w:p>
        </w:tc>
        <w:tc>
          <w:tcPr>
            <w:tcW w:w="1224" w:type="dxa"/>
            <w:tcMar>
              <w:top w:w="55" w:type="dxa"/>
              <w:left w:w="55" w:type="dxa"/>
              <w:bottom w:w="55" w:type="dxa"/>
              <w:right w:w="55" w:type="dxa"/>
            </w:tcMar>
            <w:vAlign w:val="center"/>
          </w:tcPr>
          <w:p w14:paraId="56190910" w14:textId="77777777" w:rsidR="0068671C" w:rsidRDefault="00000000" w:rsidP="00C439F9">
            <w:r>
              <w:t>6</w:t>
            </w:r>
          </w:p>
        </w:tc>
        <w:tc>
          <w:tcPr>
            <w:tcW w:w="1224" w:type="dxa"/>
            <w:tcMar>
              <w:top w:w="55" w:type="dxa"/>
              <w:left w:w="55" w:type="dxa"/>
              <w:bottom w:w="55" w:type="dxa"/>
              <w:right w:w="55" w:type="dxa"/>
            </w:tcMar>
            <w:vAlign w:val="center"/>
          </w:tcPr>
          <w:p w14:paraId="197D9118" w14:textId="77777777" w:rsidR="0068671C" w:rsidRDefault="00000000" w:rsidP="00C439F9">
            <w:r>
              <w:t>8</w:t>
            </w:r>
          </w:p>
        </w:tc>
        <w:tc>
          <w:tcPr>
            <w:tcW w:w="1224" w:type="dxa"/>
            <w:tcMar>
              <w:top w:w="55" w:type="dxa"/>
              <w:left w:w="55" w:type="dxa"/>
              <w:bottom w:w="55" w:type="dxa"/>
              <w:right w:w="55" w:type="dxa"/>
            </w:tcMar>
            <w:vAlign w:val="center"/>
          </w:tcPr>
          <w:p w14:paraId="0133F6E0" w14:textId="77777777" w:rsidR="0068671C" w:rsidRDefault="00000000" w:rsidP="00C439F9">
            <w:r>
              <w:t>9</w:t>
            </w:r>
          </w:p>
        </w:tc>
      </w:tr>
      <w:tr w:rsidR="0068671C" w14:paraId="0C3CD5D3" w14:textId="77777777">
        <w:trPr>
          <w:cantSplit/>
          <w:jc w:val="center"/>
        </w:trPr>
        <w:tc>
          <w:tcPr>
            <w:tcW w:w="3024" w:type="dxa"/>
            <w:shd w:val="clear" w:color="auto" w:fill="F3F6F8"/>
            <w:tcMar>
              <w:top w:w="55" w:type="dxa"/>
              <w:left w:w="55" w:type="dxa"/>
              <w:bottom w:w="55" w:type="dxa"/>
              <w:right w:w="55" w:type="dxa"/>
            </w:tcMar>
            <w:vAlign w:val="center"/>
          </w:tcPr>
          <w:p w14:paraId="32644C86" w14:textId="77777777" w:rsidR="0068671C" w:rsidRDefault="00000000" w:rsidP="00C439F9">
            <w:r>
              <w:t>MMR doses delivered by county clinics</w:t>
            </w:r>
          </w:p>
        </w:tc>
        <w:tc>
          <w:tcPr>
            <w:tcW w:w="1224" w:type="dxa"/>
            <w:shd w:val="clear" w:color="auto" w:fill="F3F6F8"/>
            <w:tcMar>
              <w:top w:w="55" w:type="dxa"/>
              <w:left w:w="55" w:type="dxa"/>
              <w:bottom w:w="55" w:type="dxa"/>
              <w:right w:w="55" w:type="dxa"/>
            </w:tcMar>
            <w:vAlign w:val="center"/>
          </w:tcPr>
          <w:p w14:paraId="4CD87EC1" w14:textId="77777777" w:rsidR="0068671C" w:rsidRDefault="00000000" w:rsidP="00C439F9">
            <w:r>
              <w:t>3,420</w:t>
            </w:r>
          </w:p>
        </w:tc>
        <w:tc>
          <w:tcPr>
            <w:tcW w:w="1224" w:type="dxa"/>
            <w:shd w:val="clear" w:color="auto" w:fill="F3F6F8"/>
            <w:tcMar>
              <w:top w:w="55" w:type="dxa"/>
              <w:left w:w="55" w:type="dxa"/>
              <w:bottom w:w="55" w:type="dxa"/>
              <w:right w:w="55" w:type="dxa"/>
            </w:tcMar>
            <w:vAlign w:val="center"/>
          </w:tcPr>
          <w:p w14:paraId="2883964B" w14:textId="77777777" w:rsidR="0068671C" w:rsidRDefault="00000000" w:rsidP="00C439F9">
            <w:r>
              <w:t>3,180</w:t>
            </w:r>
          </w:p>
        </w:tc>
        <w:tc>
          <w:tcPr>
            <w:tcW w:w="1224" w:type="dxa"/>
            <w:shd w:val="clear" w:color="auto" w:fill="F3F6F8"/>
            <w:tcMar>
              <w:top w:w="55" w:type="dxa"/>
              <w:left w:w="55" w:type="dxa"/>
              <w:bottom w:w="55" w:type="dxa"/>
              <w:right w:w="55" w:type="dxa"/>
            </w:tcMar>
            <w:vAlign w:val="center"/>
          </w:tcPr>
          <w:p w14:paraId="5B298F77" w14:textId="77777777" w:rsidR="0068671C" w:rsidRDefault="00000000" w:rsidP="00C439F9">
            <w:r>
              <w:t>2,960</w:t>
            </w:r>
          </w:p>
        </w:tc>
        <w:tc>
          <w:tcPr>
            <w:tcW w:w="1224" w:type="dxa"/>
            <w:shd w:val="clear" w:color="auto" w:fill="F3F6F8"/>
            <w:tcMar>
              <w:top w:w="55" w:type="dxa"/>
              <w:left w:w="55" w:type="dxa"/>
              <w:bottom w:w="55" w:type="dxa"/>
              <w:right w:w="55" w:type="dxa"/>
            </w:tcMar>
            <w:vAlign w:val="center"/>
          </w:tcPr>
          <w:p w14:paraId="6471A85D" w14:textId="77777777" w:rsidR="0068671C" w:rsidRDefault="00000000" w:rsidP="00C439F9">
            <w:r>
              <w:t>3,610</w:t>
            </w:r>
          </w:p>
        </w:tc>
        <w:tc>
          <w:tcPr>
            <w:tcW w:w="1224" w:type="dxa"/>
            <w:shd w:val="clear" w:color="auto" w:fill="F3F6F8"/>
            <w:tcMar>
              <w:top w:w="55" w:type="dxa"/>
              <w:left w:w="55" w:type="dxa"/>
              <w:bottom w:w="55" w:type="dxa"/>
              <w:right w:w="55" w:type="dxa"/>
            </w:tcMar>
            <w:vAlign w:val="center"/>
          </w:tcPr>
          <w:p w14:paraId="7754D358" w14:textId="77777777" w:rsidR="0068671C" w:rsidRDefault="00000000" w:rsidP="00C439F9">
            <w:r>
              <w:t>2,740</w:t>
            </w:r>
          </w:p>
        </w:tc>
      </w:tr>
    </w:tbl>
    <w:p w14:paraId="3A5F6C9A" w14:textId="77777777" w:rsidR="00C439F9" w:rsidRDefault="00C439F9" w:rsidP="00C439F9"/>
    <w:p w14:paraId="14E3C710" w14:textId="274C6F88" w:rsidR="0068671C" w:rsidRDefault="00000000" w:rsidP="00C439F9">
      <w:pPr>
        <w:pStyle w:val="Heading1"/>
      </w:pPr>
      <w:r>
        <w:t>Exhibit 2. Variation hidden by the county average</w:t>
      </w:r>
    </w:p>
    <w:tbl>
      <w:tblPr>
        <w:tblStyle w:val="TableGrid"/>
        <w:tblW w:w="0" w:type="auto"/>
        <w:jc w:val="center"/>
        <w:tblLayout w:type="fixed"/>
        <w:tblLook w:val="04A0" w:firstRow="1" w:lastRow="0" w:firstColumn="1" w:lastColumn="0" w:noHBand="0" w:noVBand="1"/>
      </w:tblPr>
      <w:tblGrid>
        <w:gridCol w:w="2232"/>
        <w:gridCol w:w="1080"/>
        <w:gridCol w:w="1656"/>
        <w:gridCol w:w="1296"/>
        <w:gridCol w:w="1224"/>
        <w:gridCol w:w="2232"/>
      </w:tblGrid>
      <w:tr w:rsidR="0068671C" w14:paraId="254AAAAF" w14:textId="77777777">
        <w:trPr>
          <w:cantSplit/>
          <w:tblHeader/>
          <w:jc w:val="center"/>
        </w:trPr>
        <w:tc>
          <w:tcPr>
            <w:tcW w:w="2232" w:type="dxa"/>
            <w:shd w:val="clear" w:color="auto" w:fill="315B7D"/>
            <w:tcMar>
              <w:top w:w="55" w:type="dxa"/>
              <w:left w:w="55" w:type="dxa"/>
              <w:bottom w:w="55" w:type="dxa"/>
              <w:right w:w="55" w:type="dxa"/>
            </w:tcMar>
            <w:vAlign w:val="center"/>
          </w:tcPr>
          <w:p w14:paraId="01586843" w14:textId="77777777" w:rsidR="0068671C" w:rsidRDefault="00000000" w:rsidP="00C439F9">
            <w:r>
              <w:t>School cluster</w:t>
            </w:r>
          </w:p>
        </w:tc>
        <w:tc>
          <w:tcPr>
            <w:tcW w:w="1080" w:type="dxa"/>
            <w:shd w:val="clear" w:color="auto" w:fill="315B7D"/>
            <w:tcMar>
              <w:top w:w="55" w:type="dxa"/>
              <w:left w:w="55" w:type="dxa"/>
              <w:bottom w:w="55" w:type="dxa"/>
              <w:right w:w="55" w:type="dxa"/>
            </w:tcMar>
            <w:vAlign w:val="center"/>
          </w:tcPr>
          <w:p w14:paraId="37A495B4" w14:textId="77777777" w:rsidR="0068671C" w:rsidRDefault="00000000" w:rsidP="00C439F9">
            <w:r>
              <w:t>Students</w:t>
            </w:r>
          </w:p>
        </w:tc>
        <w:tc>
          <w:tcPr>
            <w:tcW w:w="1656" w:type="dxa"/>
            <w:shd w:val="clear" w:color="auto" w:fill="315B7D"/>
            <w:tcMar>
              <w:top w:w="55" w:type="dxa"/>
              <w:left w:w="55" w:type="dxa"/>
              <w:bottom w:w="55" w:type="dxa"/>
              <w:right w:w="55" w:type="dxa"/>
            </w:tcMar>
            <w:vAlign w:val="center"/>
          </w:tcPr>
          <w:p w14:paraId="400FD92F" w14:textId="77777777" w:rsidR="0068671C" w:rsidRDefault="00000000" w:rsidP="00C439F9">
            <w:r>
              <w:t>Documented MMR coverage</w:t>
            </w:r>
          </w:p>
        </w:tc>
        <w:tc>
          <w:tcPr>
            <w:tcW w:w="1296" w:type="dxa"/>
            <w:shd w:val="clear" w:color="auto" w:fill="315B7D"/>
            <w:tcMar>
              <w:top w:w="55" w:type="dxa"/>
              <w:left w:w="55" w:type="dxa"/>
              <w:bottom w:w="55" w:type="dxa"/>
              <w:right w:w="55" w:type="dxa"/>
            </w:tcMar>
            <w:vAlign w:val="center"/>
          </w:tcPr>
          <w:p w14:paraId="3B0BA742" w14:textId="77777777" w:rsidR="0068671C" w:rsidRDefault="00000000" w:rsidP="00C439F9">
            <w:r>
              <w:t>Exemption rate</w:t>
            </w:r>
          </w:p>
        </w:tc>
        <w:tc>
          <w:tcPr>
            <w:tcW w:w="1224" w:type="dxa"/>
            <w:shd w:val="clear" w:color="auto" w:fill="315B7D"/>
            <w:tcMar>
              <w:top w:w="55" w:type="dxa"/>
              <w:left w:w="55" w:type="dxa"/>
              <w:bottom w:w="55" w:type="dxa"/>
              <w:right w:w="55" w:type="dxa"/>
            </w:tcMar>
            <w:vAlign w:val="center"/>
          </w:tcPr>
          <w:p w14:paraId="491C57E2" w14:textId="77777777" w:rsidR="0068671C" w:rsidRDefault="00000000" w:rsidP="00C439F9">
            <w:r>
              <w:t>Missing records</w:t>
            </w:r>
          </w:p>
        </w:tc>
        <w:tc>
          <w:tcPr>
            <w:tcW w:w="2232" w:type="dxa"/>
            <w:shd w:val="clear" w:color="auto" w:fill="315B7D"/>
            <w:tcMar>
              <w:top w:w="55" w:type="dxa"/>
              <w:left w:w="55" w:type="dxa"/>
              <w:bottom w:w="55" w:type="dxa"/>
              <w:right w:w="55" w:type="dxa"/>
            </w:tcMar>
            <w:vAlign w:val="center"/>
          </w:tcPr>
          <w:p w14:paraId="5F6448D3" w14:textId="77777777" w:rsidR="0068671C" w:rsidRDefault="00000000" w:rsidP="00C439F9">
            <w:r>
              <w:t>Access indicator</w:t>
            </w:r>
          </w:p>
        </w:tc>
      </w:tr>
      <w:tr w:rsidR="0068671C" w14:paraId="3DEA1749" w14:textId="77777777">
        <w:trPr>
          <w:cantSplit/>
          <w:jc w:val="center"/>
        </w:trPr>
        <w:tc>
          <w:tcPr>
            <w:tcW w:w="2232" w:type="dxa"/>
            <w:tcMar>
              <w:top w:w="55" w:type="dxa"/>
              <w:left w:w="55" w:type="dxa"/>
              <w:bottom w:w="55" w:type="dxa"/>
              <w:right w:w="55" w:type="dxa"/>
            </w:tcMar>
            <w:vAlign w:val="center"/>
          </w:tcPr>
          <w:p w14:paraId="3C82C1DC" w14:textId="77777777" w:rsidR="0068671C" w:rsidRDefault="00000000" w:rsidP="00C439F9">
            <w:r>
              <w:t>Coastal North</w:t>
            </w:r>
          </w:p>
        </w:tc>
        <w:tc>
          <w:tcPr>
            <w:tcW w:w="1080" w:type="dxa"/>
            <w:tcMar>
              <w:top w:w="55" w:type="dxa"/>
              <w:left w:w="55" w:type="dxa"/>
              <w:bottom w:w="55" w:type="dxa"/>
              <w:right w:w="55" w:type="dxa"/>
            </w:tcMar>
            <w:vAlign w:val="center"/>
          </w:tcPr>
          <w:p w14:paraId="7F53D6EE" w14:textId="77777777" w:rsidR="0068671C" w:rsidRDefault="00000000" w:rsidP="00C439F9">
            <w:r>
              <w:t>8,420</w:t>
            </w:r>
          </w:p>
        </w:tc>
        <w:tc>
          <w:tcPr>
            <w:tcW w:w="1656" w:type="dxa"/>
            <w:tcMar>
              <w:top w:w="55" w:type="dxa"/>
              <w:left w:w="55" w:type="dxa"/>
              <w:bottom w:w="55" w:type="dxa"/>
              <w:right w:w="55" w:type="dxa"/>
            </w:tcMar>
            <w:vAlign w:val="center"/>
          </w:tcPr>
          <w:p w14:paraId="4E6969A3" w14:textId="77777777" w:rsidR="0068671C" w:rsidRDefault="00000000" w:rsidP="00C439F9">
            <w:r>
              <w:t>96.4%</w:t>
            </w:r>
          </w:p>
        </w:tc>
        <w:tc>
          <w:tcPr>
            <w:tcW w:w="1296" w:type="dxa"/>
            <w:tcMar>
              <w:top w:w="55" w:type="dxa"/>
              <w:left w:w="55" w:type="dxa"/>
              <w:bottom w:w="55" w:type="dxa"/>
              <w:right w:w="55" w:type="dxa"/>
            </w:tcMar>
            <w:vAlign w:val="center"/>
          </w:tcPr>
          <w:p w14:paraId="3D0671C0" w14:textId="77777777" w:rsidR="0068671C" w:rsidRDefault="00000000" w:rsidP="00C439F9">
            <w:r>
              <w:t>1.2%</w:t>
            </w:r>
          </w:p>
        </w:tc>
        <w:tc>
          <w:tcPr>
            <w:tcW w:w="1224" w:type="dxa"/>
            <w:tcMar>
              <w:top w:w="55" w:type="dxa"/>
              <w:left w:w="55" w:type="dxa"/>
              <w:bottom w:w="55" w:type="dxa"/>
              <w:right w:w="55" w:type="dxa"/>
            </w:tcMar>
            <w:vAlign w:val="center"/>
          </w:tcPr>
          <w:p w14:paraId="3B469CEE" w14:textId="77777777" w:rsidR="0068671C" w:rsidRDefault="00000000" w:rsidP="00C439F9">
            <w:r>
              <w:t>2.4%</w:t>
            </w:r>
          </w:p>
        </w:tc>
        <w:tc>
          <w:tcPr>
            <w:tcW w:w="2232" w:type="dxa"/>
            <w:tcMar>
              <w:top w:w="55" w:type="dxa"/>
              <w:left w:w="55" w:type="dxa"/>
              <w:bottom w:w="55" w:type="dxa"/>
              <w:right w:w="55" w:type="dxa"/>
            </w:tcMar>
            <w:vAlign w:val="center"/>
          </w:tcPr>
          <w:p w14:paraId="1EFF298F" w14:textId="77777777" w:rsidR="0068671C" w:rsidRDefault="00000000" w:rsidP="00C439F9">
            <w:r>
              <w:t>High provider density</w:t>
            </w:r>
          </w:p>
        </w:tc>
      </w:tr>
      <w:tr w:rsidR="0068671C" w14:paraId="4A65530C" w14:textId="77777777">
        <w:trPr>
          <w:cantSplit/>
          <w:jc w:val="center"/>
        </w:trPr>
        <w:tc>
          <w:tcPr>
            <w:tcW w:w="2232" w:type="dxa"/>
            <w:shd w:val="clear" w:color="auto" w:fill="F3F6F8"/>
            <w:tcMar>
              <w:top w:w="55" w:type="dxa"/>
              <w:left w:w="55" w:type="dxa"/>
              <w:bottom w:w="55" w:type="dxa"/>
              <w:right w:w="55" w:type="dxa"/>
            </w:tcMar>
            <w:vAlign w:val="center"/>
          </w:tcPr>
          <w:p w14:paraId="588C182C" w14:textId="77777777" w:rsidR="0068671C" w:rsidRDefault="00000000" w:rsidP="00C439F9">
            <w:r>
              <w:t>Central City</w:t>
            </w:r>
          </w:p>
        </w:tc>
        <w:tc>
          <w:tcPr>
            <w:tcW w:w="1080" w:type="dxa"/>
            <w:shd w:val="clear" w:color="auto" w:fill="F3F6F8"/>
            <w:tcMar>
              <w:top w:w="55" w:type="dxa"/>
              <w:left w:w="55" w:type="dxa"/>
              <w:bottom w:w="55" w:type="dxa"/>
              <w:right w:w="55" w:type="dxa"/>
            </w:tcMar>
            <w:vAlign w:val="center"/>
          </w:tcPr>
          <w:p w14:paraId="118822DC" w14:textId="77777777" w:rsidR="0068671C" w:rsidRDefault="00000000" w:rsidP="00C439F9">
            <w:r>
              <w:t>11,760</w:t>
            </w:r>
          </w:p>
        </w:tc>
        <w:tc>
          <w:tcPr>
            <w:tcW w:w="1656" w:type="dxa"/>
            <w:shd w:val="clear" w:color="auto" w:fill="F3F6F8"/>
            <w:tcMar>
              <w:top w:w="55" w:type="dxa"/>
              <w:left w:w="55" w:type="dxa"/>
              <w:bottom w:w="55" w:type="dxa"/>
              <w:right w:w="55" w:type="dxa"/>
            </w:tcMar>
            <w:vAlign w:val="center"/>
          </w:tcPr>
          <w:p w14:paraId="2EAE015A" w14:textId="77777777" w:rsidR="0068671C" w:rsidRDefault="00000000" w:rsidP="00C439F9">
            <w:r>
              <w:t>90.7%</w:t>
            </w:r>
          </w:p>
        </w:tc>
        <w:tc>
          <w:tcPr>
            <w:tcW w:w="1296" w:type="dxa"/>
            <w:shd w:val="clear" w:color="auto" w:fill="F3F6F8"/>
            <w:tcMar>
              <w:top w:w="55" w:type="dxa"/>
              <w:left w:w="55" w:type="dxa"/>
              <w:bottom w:w="55" w:type="dxa"/>
              <w:right w:w="55" w:type="dxa"/>
            </w:tcMar>
            <w:vAlign w:val="center"/>
          </w:tcPr>
          <w:p w14:paraId="6476B2B5" w14:textId="77777777" w:rsidR="0068671C" w:rsidRDefault="00000000" w:rsidP="00C439F9">
            <w:r>
              <w:t>2.1%</w:t>
            </w:r>
          </w:p>
        </w:tc>
        <w:tc>
          <w:tcPr>
            <w:tcW w:w="1224" w:type="dxa"/>
            <w:shd w:val="clear" w:color="auto" w:fill="F3F6F8"/>
            <w:tcMar>
              <w:top w:w="55" w:type="dxa"/>
              <w:left w:w="55" w:type="dxa"/>
              <w:bottom w:w="55" w:type="dxa"/>
              <w:right w:w="55" w:type="dxa"/>
            </w:tcMar>
            <w:vAlign w:val="center"/>
          </w:tcPr>
          <w:p w14:paraId="38B2C1DD" w14:textId="77777777" w:rsidR="0068671C" w:rsidRDefault="00000000" w:rsidP="00C439F9">
            <w:r>
              <w:t>7.2%</w:t>
            </w:r>
          </w:p>
        </w:tc>
        <w:tc>
          <w:tcPr>
            <w:tcW w:w="2232" w:type="dxa"/>
            <w:shd w:val="clear" w:color="auto" w:fill="F3F6F8"/>
            <w:tcMar>
              <w:top w:w="55" w:type="dxa"/>
              <w:left w:w="55" w:type="dxa"/>
              <w:bottom w:w="55" w:type="dxa"/>
              <w:right w:w="55" w:type="dxa"/>
            </w:tcMar>
            <w:vAlign w:val="center"/>
          </w:tcPr>
          <w:p w14:paraId="3CC41BA5" w14:textId="77777777" w:rsidR="0068671C" w:rsidRDefault="00000000" w:rsidP="00C439F9">
            <w:r>
              <w:t>High mobility; multilingual</w:t>
            </w:r>
          </w:p>
        </w:tc>
      </w:tr>
      <w:tr w:rsidR="0068671C" w14:paraId="16E125F7" w14:textId="77777777">
        <w:trPr>
          <w:cantSplit/>
          <w:jc w:val="center"/>
        </w:trPr>
        <w:tc>
          <w:tcPr>
            <w:tcW w:w="2232" w:type="dxa"/>
            <w:tcMar>
              <w:top w:w="55" w:type="dxa"/>
              <w:left w:w="55" w:type="dxa"/>
              <w:bottom w:w="55" w:type="dxa"/>
              <w:right w:w="55" w:type="dxa"/>
            </w:tcMar>
            <w:vAlign w:val="center"/>
          </w:tcPr>
          <w:p w14:paraId="2C2FBF7D" w14:textId="77777777" w:rsidR="0068671C" w:rsidRDefault="00000000" w:rsidP="00C439F9">
            <w:r>
              <w:t>Inland Rural</w:t>
            </w:r>
          </w:p>
        </w:tc>
        <w:tc>
          <w:tcPr>
            <w:tcW w:w="1080" w:type="dxa"/>
            <w:tcMar>
              <w:top w:w="55" w:type="dxa"/>
              <w:left w:w="55" w:type="dxa"/>
              <w:bottom w:w="55" w:type="dxa"/>
              <w:right w:w="55" w:type="dxa"/>
            </w:tcMar>
            <w:vAlign w:val="center"/>
          </w:tcPr>
          <w:p w14:paraId="3ED1E6DE" w14:textId="77777777" w:rsidR="0068671C" w:rsidRDefault="00000000" w:rsidP="00C439F9">
            <w:r>
              <w:t>6,180</w:t>
            </w:r>
          </w:p>
        </w:tc>
        <w:tc>
          <w:tcPr>
            <w:tcW w:w="1656" w:type="dxa"/>
            <w:tcMar>
              <w:top w:w="55" w:type="dxa"/>
              <w:left w:w="55" w:type="dxa"/>
              <w:bottom w:w="55" w:type="dxa"/>
              <w:right w:w="55" w:type="dxa"/>
            </w:tcMar>
            <w:vAlign w:val="center"/>
          </w:tcPr>
          <w:p w14:paraId="15929EEE" w14:textId="77777777" w:rsidR="0068671C" w:rsidRDefault="00000000" w:rsidP="00C439F9">
            <w:r>
              <w:t>88.9%</w:t>
            </w:r>
          </w:p>
        </w:tc>
        <w:tc>
          <w:tcPr>
            <w:tcW w:w="1296" w:type="dxa"/>
            <w:tcMar>
              <w:top w:w="55" w:type="dxa"/>
              <w:left w:w="55" w:type="dxa"/>
              <w:bottom w:w="55" w:type="dxa"/>
              <w:right w:w="55" w:type="dxa"/>
            </w:tcMar>
            <w:vAlign w:val="center"/>
          </w:tcPr>
          <w:p w14:paraId="34E7C07E" w14:textId="77777777" w:rsidR="0068671C" w:rsidRDefault="00000000" w:rsidP="00C439F9">
            <w:r>
              <w:t>3.4%</w:t>
            </w:r>
          </w:p>
        </w:tc>
        <w:tc>
          <w:tcPr>
            <w:tcW w:w="1224" w:type="dxa"/>
            <w:tcMar>
              <w:top w:w="55" w:type="dxa"/>
              <w:left w:w="55" w:type="dxa"/>
              <w:bottom w:w="55" w:type="dxa"/>
              <w:right w:w="55" w:type="dxa"/>
            </w:tcMar>
            <w:vAlign w:val="center"/>
          </w:tcPr>
          <w:p w14:paraId="39D065CF" w14:textId="77777777" w:rsidR="0068671C" w:rsidRDefault="00000000" w:rsidP="00C439F9">
            <w:r>
              <w:t>7.7%</w:t>
            </w:r>
          </w:p>
        </w:tc>
        <w:tc>
          <w:tcPr>
            <w:tcW w:w="2232" w:type="dxa"/>
            <w:tcMar>
              <w:top w:w="55" w:type="dxa"/>
              <w:left w:w="55" w:type="dxa"/>
              <w:bottom w:w="55" w:type="dxa"/>
              <w:right w:w="55" w:type="dxa"/>
            </w:tcMar>
            <w:vAlign w:val="center"/>
          </w:tcPr>
          <w:p w14:paraId="0ADE8D58" w14:textId="77777777" w:rsidR="0068671C" w:rsidRDefault="00000000" w:rsidP="00C439F9">
            <w:r>
              <w:t>Few evening/weekend clinics</w:t>
            </w:r>
          </w:p>
        </w:tc>
      </w:tr>
      <w:tr w:rsidR="0068671C" w14:paraId="69F579FD" w14:textId="77777777">
        <w:trPr>
          <w:cantSplit/>
          <w:jc w:val="center"/>
        </w:trPr>
        <w:tc>
          <w:tcPr>
            <w:tcW w:w="2232" w:type="dxa"/>
            <w:shd w:val="clear" w:color="auto" w:fill="F3F6F8"/>
            <w:tcMar>
              <w:top w:w="55" w:type="dxa"/>
              <w:left w:w="55" w:type="dxa"/>
              <w:bottom w:w="55" w:type="dxa"/>
              <w:right w:w="55" w:type="dxa"/>
            </w:tcMar>
            <w:vAlign w:val="center"/>
          </w:tcPr>
          <w:p w14:paraId="567A22A9" w14:textId="77777777" w:rsidR="0068671C" w:rsidRDefault="00000000" w:rsidP="00C439F9">
            <w:r>
              <w:t>West Suburban</w:t>
            </w:r>
          </w:p>
        </w:tc>
        <w:tc>
          <w:tcPr>
            <w:tcW w:w="1080" w:type="dxa"/>
            <w:shd w:val="clear" w:color="auto" w:fill="F3F6F8"/>
            <w:tcMar>
              <w:top w:w="55" w:type="dxa"/>
              <w:left w:w="55" w:type="dxa"/>
              <w:bottom w:w="55" w:type="dxa"/>
              <w:right w:w="55" w:type="dxa"/>
            </w:tcMar>
            <w:vAlign w:val="center"/>
          </w:tcPr>
          <w:p w14:paraId="2690947F" w14:textId="77777777" w:rsidR="0068671C" w:rsidRDefault="00000000" w:rsidP="00C439F9">
            <w:r>
              <w:t>9,540</w:t>
            </w:r>
          </w:p>
        </w:tc>
        <w:tc>
          <w:tcPr>
            <w:tcW w:w="1656" w:type="dxa"/>
            <w:shd w:val="clear" w:color="auto" w:fill="F3F6F8"/>
            <w:tcMar>
              <w:top w:w="55" w:type="dxa"/>
              <w:left w:w="55" w:type="dxa"/>
              <w:bottom w:w="55" w:type="dxa"/>
              <w:right w:w="55" w:type="dxa"/>
            </w:tcMar>
            <w:vAlign w:val="center"/>
          </w:tcPr>
          <w:p w14:paraId="139DA395" w14:textId="77777777" w:rsidR="0068671C" w:rsidRDefault="00000000" w:rsidP="00C439F9">
            <w:r>
              <w:t>93.6%</w:t>
            </w:r>
          </w:p>
        </w:tc>
        <w:tc>
          <w:tcPr>
            <w:tcW w:w="1296" w:type="dxa"/>
            <w:shd w:val="clear" w:color="auto" w:fill="F3F6F8"/>
            <w:tcMar>
              <w:top w:w="55" w:type="dxa"/>
              <w:left w:w="55" w:type="dxa"/>
              <w:bottom w:w="55" w:type="dxa"/>
              <w:right w:w="55" w:type="dxa"/>
            </w:tcMar>
            <w:vAlign w:val="center"/>
          </w:tcPr>
          <w:p w14:paraId="21993DA2" w14:textId="77777777" w:rsidR="0068671C" w:rsidRDefault="00000000" w:rsidP="00C439F9">
            <w:r>
              <w:t>4.8%</w:t>
            </w:r>
          </w:p>
        </w:tc>
        <w:tc>
          <w:tcPr>
            <w:tcW w:w="1224" w:type="dxa"/>
            <w:shd w:val="clear" w:color="auto" w:fill="F3F6F8"/>
            <w:tcMar>
              <w:top w:w="55" w:type="dxa"/>
              <w:left w:w="55" w:type="dxa"/>
              <w:bottom w:w="55" w:type="dxa"/>
              <w:right w:w="55" w:type="dxa"/>
            </w:tcMar>
            <w:vAlign w:val="center"/>
          </w:tcPr>
          <w:p w14:paraId="0EDE33AA" w14:textId="77777777" w:rsidR="0068671C" w:rsidRDefault="00000000" w:rsidP="00C439F9">
            <w:r>
              <w:t>1.6%</w:t>
            </w:r>
          </w:p>
        </w:tc>
        <w:tc>
          <w:tcPr>
            <w:tcW w:w="2232" w:type="dxa"/>
            <w:shd w:val="clear" w:color="auto" w:fill="F3F6F8"/>
            <w:tcMar>
              <w:top w:w="55" w:type="dxa"/>
              <w:left w:w="55" w:type="dxa"/>
              <w:bottom w:w="55" w:type="dxa"/>
              <w:right w:w="55" w:type="dxa"/>
            </w:tcMar>
            <w:vAlign w:val="center"/>
          </w:tcPr>
          <w:p w14:paraId="7D70C2FE" w14:textId="77777777" w:rsidR="0068671C" w:rsidRDefault="00000000" w:rsidP="00C439F9">
            <w:r>
              <w:t>High provider density</w:t>
            </w:r>
          </w:p>
        </w:tc>
      </w:tr>
      <w:tr w:rsidR="0068671C" w14:paraId="116C547D" w14:textId="77777777">
        <w:trPr>
          <w:cantSplit/>
          <w:jc w:val="center"/>
        </w:trPr>
        <w:tc>
          <w:tcPr>
            <w:tcW w:w="2232" w:type="dxa"/>
            <w:tcMar>
              <w:top w:w="55" w:type="dxa"/>
              <w:left w:w="55" w:type="dxa"/>
              <w:bottom w:w="55" w:type="dxa"/>
              <w:right w:w="55" w:type="dxa"/>
            </w:tcMar>
            <w:vAlign w:val="center"/>
          </w:tcPr>
          <w:p w14:paraId="0955D886" w14:textId="77777777" w:rsidR="0068671C" w:rsidRDefault="00000000" w:rsidP="00C439F9">
            <w:r>
              <w:t>Independent/private schools</w:t>
            </w:r>
          </w:p>
        </w:tc>
        <w:tc>
          <w:tcPr>
            <w:tcW w:w="1080" w:type="dxa"/>
            <w:tcMar>
              <w:top w:w="55" w:type="dxa"/>
              <w:left w:w="55" w:type="dxa"/>
              <w:bottom w:w="55" w:type="dxa"/>
              <w:right w:w="55" w:type="dxa"/>
            </w:tcMar>
            <w:vAlign w:val="center"/>
          </w:tcPr>
          <w:p w14:paraId="3D603897" w14:textId="77777777" w:rsidR="0068671C" w:rsidRDefault="00000000" w:rsidP="00C439F9">
            <w:r>
              <w:t>4,330</w:t>
            </w:r>
          </w:p>
        </w:tc>
        <w:tc>
          <w:tcPr>
            <w:tcW w:w="1656" w:type="dxa"/>
            <w:tcMar>
              <w:top w:w="55" w:type="dxa"/>
              <w:left w:w="55" w:type="dxa"/>
              <w:bottom w:w="55" w:type="dxa"/>
              <w:right w:w="55" w:type="dxa"/>
            </w:tcMar>
            <w:vAlign w:val="center"/>
          </w:tcPr>
          <w:p w14:paraId="2F67BD44" w14:textId="77777777" w:rsidR="0068671C" w:rsidRDefault="00000000" w:rsidP="00C439F9">
            <w:r>
              <w:t>84.7%</w:t>
            </w:r>
          </w:p>
        </w:tc>
        <w:tc>
          <w:tcPr>
            <w:tcW w:w="1296" w:type="dxa"/>
            <w:tcMar>
              <w:top w:w="55" w:type="dxa"/>
              <w:left w:w="55" w:type="dxa"/>
              <w:bottom w:w="55" w:type="dxa"/>
              <w:right w:w="55" w:type="dxa"/>
            </w:tcMar>
            <w:vAlign w:val="center"/>
          </w:tcPr>
          <w:p w14:paraId="39D4AD53" w14:textId="77777777" w:rsidR="0068671C" w:rsidRDefault="00000000" w:rsidP="00C439F9">
            <w:r>
              <w:t>11.2%</w:t>
            </w:r>
          </w:p>
        </w:tc>
        <w:tc>
          <w:tcPr>
            <w:tcW w:w="1224" w:type="dxa"/>
            <w:tcMar>
              <w:top w:w="55" w:type="dxa"/>
              <w:left w:w="55" w:type="dxa"/>
              <w:bottom w:w="55" w:type="dxa"/>
              <w:right w:w="55" w:type="dxa"/>
            </w:tcMar>
            <w:vAlign w:val="center"/>
          </w:tcPr>
          <w:p w14:paraId="2F0A17E7" w14:textId="77777777" w:rsidR="0068671C" w:rsidRDefault="00000000" w:rsidP="00C439F9">
            <w:r>
              <w:t>4.1%</w:t>
            </w:r>
          </w:p>
        </w:tc>
        <w:tc>
          <w:tcPr>
            <w:tcW w:w="2232" w:type="dxa"/>
            <w:tcMar>
              <w:top w:w="55" w:type="dxa"/>
              <w:left w:w="55" w:type="dxa"/>
              <w:bottom w:w="55" w:type="dxa"/>
              <w:right w:w="55" w:type="dxa"/>
            </w:tcMar>
            <w:vAlign w:val="center"/>
          </w:tcPr>
          <w:p w14:paraId="3143CF16" w14:textId="77777777" w:rsidR="0068671C" w:rsidRDefault="00000000" w:rsidP="00C439F9">
            <w:r>
              <w:t>Policies and trust vary</w:t>
            </w:r>
          </w:p>
        </w:tc>
      </w:tr>
      <w:tr w:rsidR="0068671C" w14:paraId="43CE647C" w14:textId="77777777">
        <w:trPr>
          <w:cantSplit/>
          <w:jc w:val="center"/>
        </w:trPr>
        <w:tc>
          <w:tcPr>
            <w:tcW w:w="2232" w:type="dxa"/>
            <w:shd w:val="clear" w:color="auto" w:fill="F3F6F8"/>
            <w:tcMar>
              <w:top w:w="55" w:type="dxa"/>
              <w:left w:w="55" w:type="dxa"/>
              <w:bottom w:w="55" w:type="dxa"/>
              <w:right w:w="55" w:type="dxa"/>
            </w:tcMar>
            <w:vAlign w:val="center"/>
          </w:tcPr>
          <w:p w14:paraId="03F1FC8E" w14:textId="77777777" w:rsidR="0068671C" w:rsidRDefault="00000000" w:rsidP="00C439F9">
            <w:r>
              <w:t>Countywide</w:t>
            </w:r>
          </w:p>
        </w:tc>
        <w:tc>
          <w:tcPr>
            <w:tcW w:w="1080" w:type="dxa"/>
            <w:shd w:val="clear" w:color="auto" w:fill="F3F6F8"/>
            <w:tcMar>
              <w:top w:w="55" w:type="dxa"/>
              <w:left w:w="55" w:type="dxa"/>
              <w:bottom w:w="55" w:type="dxa"/>
              <w:right w:w="55" w:type="dxa"/>
            </w:tcMar>
            <w:vAlign w:val="center"/>
          </w:tcPr>
          <w:p w14:paraId="75728F73" w14:textId="77777777" w:rsidR="0068671C" w:rsidRDefault="00000000" w:rsidP="00C439F9">
            <w:r>
              <w:t>40,230</w:t>
            </w:r>
          </w:p>
        </w:tc>
        <w:tc>
          <w:tcPr>
            <w:tcW w:w="1656" w:type="dxa"/>
            <w:shd w:val="clear" w:color="auto" w:fill="F3F6F8"/>
            <w:tcMar>
              <w:top w:w="55" w:type="dxa"/>
              <w:left w:w="55" w:type="dxa"/>
              <w:bottom w:w="55" w:type="dxa"/>
              <w:right w:w="55" w:type="dxa"/>
            </w:tcMar>
            <w:vAlign w:val="center"/>
          </w:tcPr>
          <w:p w14:paraId="46F63400" w14:textId="77777777" w:rsidR="0068671C" w:rsidRDefault="00000000" w:rsidP="00C439F9">
            <w:r>
              <w:t>91.8%</w:t>
            </w:r>
          </w:p>
        </w:tc>
        <w:tc>
          <w:tcPr>
            <w:tcW w:w="1296" w:type="dxa"/>
            <w:shd w:val="clear" w:color="auto" w:fill="F3F6F8"/>
            <w:tcMar>
              <w:top w:w="55" w:type="dxa"/>
              <w:left w:w="55" w:type="dxa"/>
              <w:bottom w:w="55" w:type="dxa"/>
              <w:right w:w="55" w:type="dxa"/>
            </w:tcMar>
            <w:vAlign w:val="center"/>
          </w:tcPr>
          <w:p w14:paraId="6E35BC57" w14:textId="77777777" w:rsidR="0068671C" w:rsidRDefault="00000000" w:rsidP="00C439F9">
            <w:r>
              <w:t>4.4%</w:t>
            </w:r>
          </w:p>
        </w:tc>
        <w:tc>
          <w:tcPr>
            <w:tcW w:w="1224" w:type="dxa"/>
            <w:shd w:val="clear" w:color="auto" w:fill="F3F6F8"/>
            <w:tcMar>
              <w:top w:w="55" w:type="dxa"/>
              <w:left w:w="55" w:type="dxa"/>
              <w:bottom w:w="55" w:type="dxa"/>
              <w:right w:w="55" w:type="dxa"/>
            </w:tcMar>
            <w:vAlign w:val="center"/>
          </w:tcPr>
          <w:p w14:paraId="1E87355E" w14:textId="77777777" w:rsidR="0068671C" w:rsidRDefault="00000000" w:rsidP="00C439F9">
            <w:r>
              <w:t>3.8%</w:t>
            </w:r>
          </w:p>
        </w:tc>
        <w:tc>
          <w:tcPr>
            <w:tcW w:w="2232" w:type="dxa"/>
            <w:shd w:val="clear" w:color="auto" w:fill="F3F6F8"/>
            <w:tcMar>
              <w:top w:w="55" w:type="dxa"/>
              <w:left w:w="55" w:type="dxa"/>
              <w:bottom w:w="55" w:type="dxa"/>
              <w:right w:w="55" w:type="dxa"/>
            </w:tcMar>
            <w:vAlign w:val="center"/>
          </w:tcPr>
          <w:p w14:paraId="44171005" w14:textId="77777777" w:rsidR="0068671C" w:rsidRDefault="00000000" w:rsidP="00C439F9">
            <w:r>
              <w:t>Average masks clustering</w:t>
            </w:r>
          </w:p>
        </w:tc>
      </w:tr>
    </w:tbl>
    <w:p w14:paraId="31824F2A" w14:textId="77777777" w:rsidR="00220A80" w:rsidRDefault="00220A80" w:rsidP="00220A80">
      <w:pPr>
        <w:pStyle w:val="Heading1"/>
      </w:pPr>
      <w:r>
        <w:t>Framing questions</w:t>
      </w:r>
    </w:p>
    <w:p w14:paraId="6F23D9D1" w14:textId="77777777" w:rsidR="00220A80" w:rsidRDefault="00220A80" w:rsidP="00220A80">
      <w:pPr>
        <w:pStyle w:val="ListParagraph"/>
        <w:numPr>
          <w:ilvl w:val="0"/>
          <w:numId w:val="10"/>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4D6825C7" w14:textId="77777777" w:rsidR="00220A80" w:rsidRDefault="00220A80" w:rsidP="00220A80">
      <w:pPr>
        <w:pStyle w:val="ListParagraph"/>
        <w:numPr>
          <w:ilvl w:val="0"/>
          <w:numId w:val="10"/>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2F7E3110" w14:textId="77777777" w:rsidR="00220A80" w:rsidRDefault="00220A80" w:rsidP="00220A80">
      <w:pPr>
        <w:pStyle w:val="ListParagraph"/>
        <w:numPr>
          <w:ilvl w:val="0"/>
          <w:numId w:val="10"/>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172D10A0" w14:textId="77777777" w:rsidR="00220A80" w:rsidRDefault="00220A80" w:rsidP="00220A80">
      <w:pPr>
        <w:pStyle w:val="ListParagraph"/>
        <w:numPr>
          <w:ilvl w:val="0"/>
          <w:numId w:val="10"/>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36E38D7D" w14:textId="77777777" w:rsidR="00220A80" w:rsidRDefault="00220A80" w:rsidP="00220A80">
      <w:pPr>
        <w:pStyle w:val="ListParagraph"/>
        <w:numPr>
          <w:ilvl w:val="0"/>
          <w:numId w:val="10"/>
        </w:numPr>
        <w:spacing w:after="80" w:line="247" w:lineRule="auto"/>
      </w:pPr>
      <w:r>
        <w:t>Repeat the exercise in (3), but this time using uncertainties instead of decisions.</w:t>
      </w:r>
    </w:p>
    <w:p w14:paraId="52B7B333" w14:textId="77777777" w:rsidR="00220A80" w:rsidRDefault="00220A80" w:rsidP="00220A80">
      <w:pPr>
        <w:pStyle w:val="ListParagraph"/>
        <w:numPr>
          <w:ilvl w:val="1"/>
          <w:numId w:val="10"/>
        </w:numPr>
        <w:spacing w:after="80" w:line="247" w:lineRule="auto"/>
      </w:pPr>
      <w:r>
        <w:t>Which sources of uncertainty would be captured using average performance over time?</w:t>
      </w:r>
    </w:p>
    <w:p w14:paraId="6C628D9B" w14:textId="77777777" w:rsidR="00220A80" w:rsidRDefault="00220A80" w:rsidP="00220A80">
      <w:pPr>
        <w:pStyle w:val="ListParagraph"/>
        <w:numPr>
          <w:ilvl w:val="1"/>
          <w:numId w:val="10"/>
        </w:numPr>
        <w:spacing w:after="80" w:line="247" w:lineRule="auto"/>
      </w:pPr>
      <w:r>
        <w:lastRenderedPageBreak/>
        <w:t>Which sources of uncertainty represent forms of risk that are not properly captured using averages?</w:t>
      </w:r>
    </w:p>
    <w:p w14:paraId="1BDF6A99" w14:textId="77777777" w:rsidR="00220A80" w:rsidRDefault="00220A80" w:rsidP="00220A80">
      <w:pPr>
        <w:pStyle w:val="ListParagraph"/>
        <w:numPr>
          <w:ilvl w:val="0"/>
          <w:numId w:val="10"/>
        </w:numPr>
        <w:spacing w:after="80" w:line="247" w:lineRule="auto"/>
      </w:pPr>
      <w:r>
        <w:t xml:space="preserve">Choose the single decision that seems to have the highest impact on the most important metric.  </w:t>
      </w:r>
    </w:p>
    <w:p w14:paraId="650929A6" w14:textId="77777777" w:rsidR="00220A80" w:rsidRDefault="00220A80" w:rsidP="00220A80">
      <w:pPr>
        <w:pStyle w:val="ListParagraph"/>
        <w:numPr>
          <w:ilvl w:val="1"/>
          <w:numId w:val="10"/>
        </w:numPr>
        <w:spacing w:after="80" w:line="247" w:lineRule="auto"/>
      </w:pPr>
      <w:r>
        <w:t>What approach do you think you would use to make this decision?</w:t>
      </w:r>
    </w:p>
    <w:p w14:paraId="2B8FBCBE" w14:textId="77777777" w:rsidR="00220A80" w:rsidRDefault="00220A80" w:rsidP="00220A80">
      <w:pPr>
        <w:pStyle w:val="ListParagraph"/>
        <w:numPr>
          <w:ilvl w:val="1"/>
          <w:numId w:val="10"/>
        </w:numPr>
        <w:spacing w:after="80" w:line="247" w:lineRule="auto"/>
      </w:pPr>
      <w:r>
        <w:t>What data appears to be necessary to make this decision, including the calculation of any performance metrics where the decision would have a high or medium impact.</w:t>
      </w:r>
    </w:p>
    <w:p w14:paraId="44488D08" w14:textId="77777777" w:rsidR="00220A80" w:rsidRDefault="00220A80" w:rsidP="00220A80">
      <w:pPr>
        <w:pStyle w:val="ListParagraph"/>
        <w:numPr>
          <w:ilvl w:val="0"/>
          <w:numId w:val="10"/>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5FF1CCA0" w14:textId="77777777" w:rsidR="0068671C" w:rsidRDefault="00000000" w:rsidP="00C439F9">
      <w:pPr>
        <w:pStyle w:val="Heading1"/>
      </w:pPr>
      <w:r>
        <w:t>Discussion questions</w:t>
      </w:r>
    </w:p>
    <w:p w14:paraId="5A43FF53" w14:textId="3662E828" w:rsidR="0068671C" w:rsidRDefault="00000000" w:rsidP="00220A80">
      <w:pPr>
        <w:pStyle w:val="ListParagraph"/>
        <w:numPr>
          <w:ilvl w:val="0"/>
          <w:numId w:val="12"/>
        </w:numPr>
      </w:pPr>
      <w:r>
        <w:t>What problem is Patel being asked to solve: contain one exposure, prevent an outbreak, raise vaccination coverage, rebuild confidence, or protect vulnerable residents?</w:t>
      </w:r>
    </w:p>
    <w:p w14:paraId="7DA6EDE3" w14:textId="4E76F189" w:rsidR="0068671C" w:rsidRDefault="00000000" w:rsidP="00220A80">
      <w:pPr>
        <w:pStyle w:val="ListParagraph"/>
        <w:numPr>
          <w:ilvl w:val="0"/>
          <w:numId w:val="12"/>
        </w:numPr>
      </w:pPr>
      <w:r>
        <w:t>Which decisions must be made before the 3:30 p.m. meeting, and which can be contingent on new information?</w:t>
      </w:r>
    </w:p>
    <w:p w14:paraId="08011C66" w14:textId="32D22295" w:rsidR="0068671C" w:rsidRDefault="00000000" w:rsidP="00220A80">
      <w:pPr>
        <w:pStyle w:val="ListParagraph"/>
        <w:numPr>
          <w:ilvl w:val="0"/>
          <w:numId w:val="12"/>
        </w:numPr>
      </w:pPr>
      <w:r>
        <w:t>How should the county distinguish lack of vaccination from lack of documentation? What is the value of improving the data?</w:t>
      </w:r>
    </w:p>
    <w:p w14:paraId="2DAB1D25" w14:textId="513EAF27" w:rsidR="0068671C" w:rsidRDefault="00000000" w:rsidP="00220A80">
      <w:pPr>
        <w:pStyle w:val="ListParagraph"/>
        <w:numPr>
          <w:ilvl w:val="0"/>
          <w:numId w:val="12"/>
        </w:numPr>
      </w:pPr>
      <w:r>
        <w:t>Which performance measures should govern the response: cases, secondary transmission, coverage, verified records, school days lost, trust, equity, cost, or some combination?</w:t>
      </w:r>
    </w:p>
    <w:p w14:paraId="1889CEBD" w14:textId="4DD4E99A" w:rsidR="0068671C" w:rsidRDefault="00000000" w:rsidP="00220A80">
      <w:pPr>
        <w:pStyle w:val="ListParagraph"/>
        <w:numPr>
          <w:ilvl w:val="0"/>
          <w:numId w:val="12"/>
        </w:numPr>
      </w:pPr>
      <w:r>
        <w:t>How should resources be allocated when low coverage results from different causes in different communities?</w:t>
      </w:r>
    </w:p>
    <w:p w14:paraId="79CCE845" w14:textId="28374099" w:rsidR="0068671C" w:rsidRDefault="00000000" w:rsidP="00220A80">
      <w:pPr>
        <w:pStyle w:val="ListParagraph"/>
        <w:numPr>
          <w:ilvl w:val="0"/>
          <w:numId w:val="12"/>
        </w:numPr>
      </w:pPr>
      <w:r>
        <w:t>What communication strategy would provide useful information without increasing stigma, polarization, or complacency?</w:t>
      </w:r>
    </w:p>
    <w:p w14:paraId="44F7A770" w14:textId="2A41939F" w:rsidR="0068671C" w:rsidRDefault="00000000" w:rsidP="00220A80">
      <w:pPr>
        <w:pStyle w:val="ListParagraph"/>
        <w:numPr>
          <w:ilvl w:val="0"/>
          <w:numId w:val="12"/>
        </w:numPr>
      </w:pPr>
      <w:r>
        <w:t>Prepare a 90-day recommendation for Patel, including a budget, decision triggers, and indicators that would cause the strategy to expand, contract, or change.</w:t>
      </w:r>
    </w:p>
    <w:p w14:paraId="6BDF3DA4" w14:textId="77777777" w:rsidR="0068671C" w:rsidRDefault="00000000" w:rsidP="00C439F9">
      <w:pPr>
        <w:pStyle w:val="Heading1"/>
      </w:pPr>
      <w:r>
        <w:t>Sources and notes</w:t>
      </w:r>
    </w:p>
    <w:p w14:paraId="6E4CA121" w14:textId="77777777" w:rsidR="0068671C" w:rsidRDefault="00000000" w:rsidP="00C439F9">
      <w:r>
        <w:t>1. CDC, “Measles Cases and Outbreaks,” updated July 24, 2026. As of July 23, 2026, the United States had reported 2,318 confirmed cases; 93% were outbreak-associated. The page also reports 2,289 cases in 2025 and 285 in 2024, and notes that community immunity generally requires coverage above 95%.</w:t>
      </w:r>
    </w:p>
    <w:p w14:paraId="0CCE6634" w14:textId="77777777" w:rsidR="0068671C" w:rsidRDefault="00000000" w:rsidP="00C439F9">
      <w:r>
        <w:t>2. CDC, “Measles Symptoms and Complications,” April 29, 2026. Symptoms generally begin 7–14 days after infection; about one in five unvaccinated U.S. patients is hospitalized, up to one in twenty children develops pneumonia, and about one in one thousand develops encephalitis.</w:t>
      </w:r>
    </w:p>
    <w:p w14:paraId="65338C11" w14:textId="77777777" w:rsidR="0068671C" w:rsidRDefault="00000000" w:rsidP="00C439F9">
      <w:r>
        <w:t>3. CDC, “Measles Vaccination,” April 29, 2026. CDC recommends two MMR doses for children, ordinarily at 12–15 months and 4–6 years; MMR within 72 hours of exposure and immune globulin within six days may provide post-exposure protection in appropriate circumstances.</w:t>
      </w:r>
    </w:p>
    <w:p w14:paraId="05914457" w14:textId="77777777" w:rsidR="0068671C" w:rsidRDefault="00000000" w:rsidP="00C439F9">
      <w:r>
        <w:t>4. CDC SchoolVaxView, “Vaccination Coverage and Exemptions among Kindergartners,” July 31, 2025. National MMR coverage was 92.5% in 2024–2025; about 286,000 kindergartners lacked documentation of a complete MMR series; exemptions from one or more vaccines reached 3.6%, with seventeen states above 5%.</w:t>
      </w:r>
    </w:p>
    <w:p w14:paraId="6DDB0C3F" w14:textId="77777777" w:rsidR="002512D9" w:rsidRDefault="002512D9" w:rsidP="00C439F9"/>
    <w:p w14:paraId="31129CEB" w14:textId="2A07711D" w:rsidR="002512D9" w:rsidRDefault="002512D9" w:rsidP="00C439F9">
      <w:pPr>
        <w:pStyle w:val="Heading1"/>
      </w:pPr>
      <w:r>
        <w:t>ChatGPT notes:</w:t>
      </w:r>
    </w:p>
    <w:p w14:paraId="382E7FD5" w14:textId="32BA885C" w:rsidR="00C439F9" w:rsidRDefault="00C439F9" w:rsidP="00C439F9">
      <w:pPr>
        <w:pStyle w:val="Heading2"/>
      </w:pPr>
      <w:r>
        <w:t>Prompt</w:t>
      </w:r>
    </w:p>
    <w:p w14:paraId="6BFAEDB0" w14:textId="53D2D644" w:rsidR="00C439F9" w:rsidRPr="00C439F9" w:rsidRDefault="008C534A" w:rsidP="00C439F9">
      <w:r w:rsidRPr="008C534A">
        <w:t>Using the style of a business case study, create a case study of a public health problem, supported by statistics. It should be 3 to 5 pages in a Word document, well organized, but without a clear idea of how to solve the problem.</w:t>
      </w:r>
    </w:p>
    <w:p w14:paraId="4DF2FF83" w14:textId="5E893ED9" w:rsidR="00C439F9" w:rsidRDefault="00C439F9" w:rsidP="00C439F9">
      <w:pPr>
        <w:pStyle w:val="Heading2"/>
      </w:pPr>
      <w:r>
        <w:t>Summary</w:t>
      </w:r>
    </w:p>
    <w:p w14:paraId="4B1C56C5" w14:textId="112AF610" w:rsidR="002512D9" w:rsidRPr="002512D9" w:rsidRDefault="002512D9" w:rsidP="00C439F9">
      <w:r w:rsidRPr="002512D9">
        <w:t>This case examines a county confronting a confirmed measles exposure amid declining childhood vaccination coverage. It follows the same format as the earlier case, including competing stakeholder views, incomplete data, budget constraints, intervention options, quantitative exhibits, current CDC statistics, and discussion questions—without identifying a preferred solution.</w:t>
      </w:r>
    </w:p>
    <w:sectPr w:rsidR="002512D9" w:rsidRPr="002512D9" w:rsidSect="00034616">
      <w:headerReference w:type="even" r:id="rId12"/>
      <w:headerReference w:type="default" r:id="rId13"/>
      <w:footerReference w:type="even" r:id="rId14"/>
      <w:footerReference w:type="default" r:id="rId15"/>
      <w:headerReference w:type="first" r:id="rId16"/>
      <w:footerReference w:type="first" r:id="rId17"/>
      <w:pgSz w:w="12240" w:h="15840"/>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DB71C" w14:textId="77777777" w:rsidR="00444503" w:rsidRDefault="00444503" w:rsidP="00C439F9">
      <w:r>
        <w:separator/>
      </w:r>
    </w:p>
  </w:endnote>
  <w:endnote w:type="continuationSeparator" w:id="0">
    <w:p w14:paraId="06D78ABD" w14:textId="77777777" w:rsidR="00444503" w:rsidRDefault="00444503" w:rsidP="00C4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49E1" w14:textId="77777777" w:rsidR="009D5548" w:rsidRDefault="009D5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3E21" w14:textId="77777777" w:rsidR="0068671C" w:rsidRDefault="00000000" w:rsidP="00C439F9">
    <w:pPr>
      <w:pStyle w:val="Footer"/>
    </w:pPr>
    <w:r>
      <w:t xml:space="preserve">Harbor County Immunity </w:t>
    </w:r>
    <w:proofErr w:type="gramStart"/>
    <w:r>
      <w:t>Gap  |</w:t>
    </w:r>
    <w:proofErr w:type="gramEnd"/>
    <w:r>
      <w:t xml:space="preserve">  Public Health Case Study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4D22" w14:textId="77777777" w:rsidR="009D5548" w:rsidRDefault="009D5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46629" w14:textId="77777777" w:rsidR="00444503" w:rsidRDefault="00444503" w:rsidP="00C439F9">
      <w:r>
        <w:separator/>
      </w:r>
    </w:p>
  </w:footnote>
  <w:footnote w:type="continuationSeparator" w:id="0">
    <w:p w14:paraId="5C0EF256" w14:textId="77777777" w:rsidR="00444503" w:rsidRDefault="00444503" w:rsidP="00C43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1AC3" w14:textId="77777777" w:rsidR="009D5548" w:rsidRDefault="009D5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777A" w14:textId="77777777" w:rsidR="0068671C" w:rsidRPr="009D5548" w:rsidRDefault="00000000" w:rsidP="009D5548">
    <w:pPr>
      <w:pStyle w:val="Header"/>
      <w:jc w:val="right"/>
      <w:rPr>
        <w:color w:val="A6A6A6" w:themeColor="background1" w:themeShade="A6"/>
        <w:sz w:val="15"/>
        <w:szCs w:val="15"/>
      </w:rPr>
    </w:pPr>
    <w:r w:rsidRPr="009D5548">
      <w:rPr>
        <w:color w:val="A6A6A6" w:themeColor="background1" w:themeShade="A6"/>
        <w:sz w:val="15"/>
        <w:szCs w:val="15"/>
      </w:rPr>
      <w:t>PUBLIC HEALTH MANAGEMENT CASE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1A98" w14:textId="77777777" w:rsidR="009D5548" w:rsidRDefault="009D5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02573"/>
    <w:multiLevelType w:val="hybridMultilevel"/>
    <w:tmpl w:val="AB0A4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713F62"/>
    <w:multiLevelType w:val="hybridMultilevel"/>
    <w:tmpl w:val="C2828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9203224">
    <w:abstractNumId w:val="8"/>
  </w:num>
  <w:num w:numId="2" w16cid:durableId="1597135133">
    <w:abstractNumId w:val="6"/>
  </w:num>
  <w:num w:numId="3" w16cid:durableId="647323897">
    <w:abstractNumId w:val="5"/>
  </w:num>
  <w:num w:numId="4" w16cid:durableId="419640567">
    <w:abstractNumId w:val="4"/>
  </w:num>
  <w:num w:numId="5" w16cid:durableId="1601110510">
    <w:abstractNumId w:val="7"/>
  </w:num>
  <w:num w:numId="6" w16cid:durableId="2046439417">
    <w:abstractNumId w:val="3"/>
  </w:num>
  <w:num w:numId="7" w16cid:durableId="797382221">
    <w:abstractNumId w:val="2"/>
  </w:num>
  <w:num w:numId="8" w16cid:durableId="1428767491">
    <w:abstractNumId w:val="1"/>
  </w:num>
  <w:num w:numId="9" w16cid:durableId="1537111063">
    <w:abstractNumId w:val="0"/>
  </w:num>
  <w:num w:numId="10" w16cid:durableId="1268582022">
    <w:abstractNumId w:val="9"/>
  </w:num>
  <w:num w:numId="11" w16cid:durableId="197931757">
    <w:abstractNumId w:val="11"/>
  </w:num>
  <w:num w:numId="12" w16cid:durableId="15188864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0A80"/>
    <w:rsid w:val="002512D9"/>
    <w:rsid w:val="0029639D"/>
    <w:rsid w:val="00326F90"/>
    <w:rsid w:val="00444503"/>
    <w:rsid w:val="0068671C"/>
    <w:rsid w:val="008852B7"/>
    <w:rsid w:val="008C534A"/>
    <w:rsid w:val="00951AFA"/>
    <w:rsid w:val="009D5548"/>
    <w:rsid w:val="00A331FA"/>
    <w:rsid w:val="00A875AC"/>
    <w:rsid w:val="00AA1D8D"/>
    <w:rsid w:val="00B47730"/>
    <w:rsid w:val="00C439F9"/>
    <w:rsid w:val="00CB0664"/>
    <w:rsid w:val="00E85B38"/>
    <w:rsid w:val="00EC39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B8E9F"/>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9F9"/>
    <w:pPr>
      <w:spacing w:after="50" w:line="240" w:lineRule="auto"/>
    </w:pPr>
    <w:rPr>
      <w:rFonts w:ascii="Aptos" w:hAnsi="Aptos"/>
    </w:rPr>
  </w:style>
  <w:style w:type="paragraph" w:styleId="Heading1">
    <w:name w:val="heading 1"/>
    <w:basedOn w:val="Normal"/>
    <w:next w:val="Normal"/>
    <w:link w:val="Heading1Char"/>
    <w:uiPriority w:val="9"/>
    <w:qFormat/>
    <w:rsid w:val="00FC693F"/>
    <w:pPr>
      <w:keepNext/>
      <w:keepLines/>
      <w:spacing w:before="6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60"/>
      <w:outlineLvl w:val="1"/>
    </w:pPr>
    <w:rPr>
      <w:rFonts w:asciiTheme="majorHAnsi" w:eastAsiaTheme="majorEastAsia" w:hAnsiTheme="majorHAnsi" w:cstheme="majorBidi"/>
      <w:b/>
      <w:bCs/>
      <w:color w:val="2F559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60"/>
      <w:contextualSpacing/>
    </w:pPr>
    <w:rPr>
      <w:rFonts w:asciiTheme="majorHAnsi" w:eastAsiaTheme="majorEastAsia" w:hAnsiTheme="majorHAnsi" w:cstheme="majorBidi"/>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Deck">
    <w:name w:val="Case Deck"/>
    <w:pPr>
      <w:spacing w:after="160"/>
    </w:pPr>
    <w:rPr>
      <w:rFonts w:ascii="Aptos" w:hAnsi="Aptos"/>
      <w:i/>
      <w:color w:val="505050"/>
      <w:sz w:val="19"/>
    </w:rPr>
  </w:style>
  <w:style w:type="paragraph" w:customStyle="1" w:styleId="CaseQuestion">
    <w:name w:val="Case Question"/>
    <w:pPr>
      <w:spacing w:before="40" w:after="40"/>
      <w:ind w:left="259" w:right="259"/>
    </w:pPr>
    <w:rPr>
      <w:rFonts w:ascii="Aptos" w:hAnsi="Aptos"/>
      <w:b/>
      <w:color w:val="17365D"/>
      <w:sz w:val="18"/>
    </w:rPr>
  </w:style>
  <w:style w:type="character" w:styleId="Hyperlink">
    <w:name w:val="Hyperlink"/>
    <w:basedOn w:val="DefaultParagraphFont"/>
    <w:uiPriority w:val="99"/>
    <w:unhideWhenUsed/>
    <w:rsid w:val="00220A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nyurl.com/FramingMatri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The Riverton Turning Point</vt:lpstr>
    </vt:vector>
  </TitlesOfParts>
  <Manager/>
  <Company/>
  <LinksUpToDate>false</LinksUpToDate>
  <CharactersWithSpaces>16374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Riverton Turning Point</dc:title>
  <dc:subject>Public health management case study</dc:subject>
  <dc:creator>OpenAI</dc:creator>
  <cp:keywords/>
  <dc:description>generated by python-docx</dc:description>
  <cp:lastModifiedBy>Warren Powell</cp:lastModifiedBy>
  <cp:revision>7</cp:revision>
  <dcterms:created xsi:type="dcterms:W3CDTF">2013-12-23T23:15:00Z</dcterms:created>
  <dcterms:modified xsi:type="dcterms:W3CDTF">2026-07-30T19:04:00Z</dcterms:modified>
  <cp:category/>
</cp:coreProperties>
</file>