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EC5B3" w14:textId="7841FF39" w:rsidR="00890853" w:rsidRDefault="00890853" w:rsidP="00890853">
      <w:pPr>
        <w:pStyle w:val="CaseTitle"/>
      </w:pPr>
      <w:r>
        <w:t>Dispatch Dynamics:</w:t>
      </w:r>
    </w:p>
    <w:p w14:paraId="7D5319BF" w14:textId="0BBA72E5" w:rsidR="00890853" w:rsidRDefault="00890853" w:rsidP="00890853">
      <w:pPr>
        <w:pStyle w:val="CaseSubtitle"/>
      </w:pPr>
      <w:r>
        <w:t xml:space="preserve">The </w:t>
      </w:r>
      <w:r>
        <w:t>Recommendation Gap</w:t>
      </w:r>
    </w:p>
    <w:p w14:paraId="25E2F145" w14:textId="69EB2A8D" w:rsidR="00890853" w:rsidRPr="00890853" w:rsidRDefault="00890853" w:rsidP="00890853">
      <w:pPr>
        <w:pStyle w:val="CaseSubtitle"/>
        <w:rPr>
          <w:rFonts w:ascii="Aptos" w:hAnsi="Aptos"/>
          <w:iCs/>
          <w:color w:val="808080" w:themeColor="background1" w:themeShade="80"/>
          <w:sz w:val="22"/>
        </w:rPr>
      </w:pPr>
      <w:r>
        <w:rPr>
          <w:rFonts w:ascii="Aptos" w:hAnsi="Aptos"/>
          <w:iCs/>
          <w:color w:val="808080" w:themeColor="background1" w:themeShade="80"/>
          <w:sz w:val="22"/>
        </w:rPr>
        <w:t xml:space="preserve">A </w:t>
      </w:r>
      <w:r w:rsidRPr="00890853">
        <w:rPr>
          <w:rFonts w:ascii="Aptos" w:hAnsi="Aptos"/>
          <w:iCs/>
          <w:color w:val="808080" w:themeColor="background1" w:themeShade="80"/>
          <w:sz w:val="22"/>
        </w:rPr>
        <w:t>decision</w:t>
      </w:r>
      <w:r>
        <w:rPr>
          <w:rFonts w:ascii="Aptos" w:hAnsi="Aptos"/>
          <w:iCs/>
          <w:color w:val="808080" w:themeColor="background1" w:themeShade="80"/>
          <w:sz w:val="22"/>
        </w:rPr>
        <w:t xml:space="preserve">-automation company confronts the last mile of implementation </w:t>
      </w:r>
    </w:p>
    <w:p w14:paraId="6B99A869" w14:textId="7DCC4779" w:rsidR="00890853" w:rsidRPr="00890853" w:rsidRDefault="00890853" w:rsidP="00890853">
      <w:pPr>
        <w:pStyle w:val="CaseSpacer"/>
      </w:pPr>
      <w:r>
        <w:br/>
      </w:r>
    </w:p>
    <w:p w14:paraId="31AAE805" w14:textId="1285C53E" w:rsidR="00DD5F44" w:rsidRDefault="00DD5F44" w:rsidP="00DD5F44">
      <w:r>
        <w:rPr>
          <w:b/>
          <w:color w:val="17365D"/>
        </w:rPr>
        <w:t>The Monday Review</w:t>
      </w:r>
    </w:p>
    <w:p w14:paraId="257D8FF5" w14:textId="77777777" w:rsidR="00206C2E" w:rsidRPr="00DD5F44" w:rsidRDefault="00000000" w:rsidP="00DD5F44">
      <w:r w:rsidRPr="00DD5F44">
        <w:t xml:space="preserve">At 7:15 on a Monday morning, Maya Chen, chief customer officer of Dispatch Dynamics, studied a dashboard that seemed to contradict the company’s sales story. The software company </w:t>
      </w:r>
      <w:proofErr w:type="gramStart"/>
      <w:r w:rsidRPr="00DD5F44">
        <w:t>had</w:t>
      </w:r>
      <w:proofErr w:type="gramEnd"/>
      <w:r w:rsidRPr="00DD5F44">
        <w:t xml:space="preserve"> completed twelve implementations of its truckload dispatching platform. Several customers reported meaningful gains in revenue per tractor, loaded miles, planning productivity, and network consistency. Yet across the portfolio, only 43 percent of eligible driver recommendations were being followed without material modification.</w:t>
      </w:r>
    </w:p>
    <w:p w14:paraId="5D0873F5" w14:textId="77777777" w:rsidR="00206C2E" w:rsidRPr="00DD5F44" w:rsidRDefault="00000000" w:rsidP="00DD5F44">
      <w:r w:rsidRPr="00DD5F44">
        <w:t>The number was troubling because the system did not merely display forecasts. Every few minutes it evaluated available drivers, committed loads, anticipated freight, driver schedules, home-time requirements, equipment constraints, and network uncertainty. It then recommended what each driver should do next. The product team believed that broader use of those recommendations was essential: local decisions that looked sensible in isolation could reduce future options elsewhere in the network.</w:t>
      </w:r>
    </w:p>
    <w:p w14:paraId="2855628F" w14:textId="77777777" w:rsidR="00206C2E" w:rsidRDefault="00000000" w:rsidP="00DD5F44">
      <w:r>
        <w:t>But the adoption metric concealed as much as it revealed. One customer followed 82 percent of recommendations and had improved revenue per tractor. Another followed only 31 percent yet insisted that dispatchers were protecting service commitments the software did not understand. A third appeared to have high adoption, but an audit found that planners were changing driver and load data before recommendations were generated, effectively steering the answer while preserving the appearance of compliance.</w:t>
      </w:r>
    </w:p>
    <w:p w14:paraId="6EB2D8A5" w14:textId="77777777" w:rsidR="00206C2E" w:rsidRDefault="00000000" w:rsidP="00DD5F44">
      <w:r>
        <w:t>Chen had been asked to propose a company-wide response at the quarterly operating meeting in three weeks. Dispatch Dynamics could invest in better product explanations, more intensive implementation support, formal research on user behavior, improved data diagnostics, or redesign of the dispatch workflow. It could also conclude that low adherence was sometimes rational and that the product needed to learn more from overrides. The evidence did not point cleanly in one direction.</w:t>
      </w:r>
    </w:p>
    <w:p w14:paraId="5E2E23D5" w14:textId="77777777" w:rsidR="00206C2E" w:rsidRDefault="00000000" w:rsidP="00DD5F44">
      <w:pPr>
        <w:pStyle w:val="Heading1"/>
      </w:pPr>
      <w:r>
        <w:t>The Product and Its Promise</w:t>
      </w:r>
    </w:p>
    <w:p w14:paraId="2B217FD1" w14:textId="77777777" w:rsidR="00206C2E" w:rsidRDefault="00000000" w:rsidP="00DD5F44">
      <w:r>
        <w:t>Dispatch Dynamics sold decision-automation software to midsize and large truckload carriers. The platform generated load-acceptance and driver-dispatch recommendations while accounting for downstream consequences. Its central claim was that a planner should not evaluate a driver-load pairing only by its immediate revenue or empty miles. The pairing also changed where the driver would be positioned, which future loads remained feasible, whether home-time commitments could be met, and how scarce capacity would be distributed across the network.</w:t>
      </w:r>
    </w:p>
    <w:p w14:paraId="3F313BCF" w14:textId="77777777" w:rsidR="00206C2E" w:rsidRDefault="00000000" w:rsidP="00DD5F44">
      <w:r>
        <w:t>Successful implementations had changed the role of dispatchers. Rather than manually searching through every feasible assignment, users monitored recommendations, handled exceptions, communicated with drivers and customers, and corrected missing information. At the strongest customer sites, management described the transition as an operating-model change rather than a software installation. At weaker sites, the new system had been inserted alongside existing spreadsheets, message threads, and informal rules.</w:t>
      </w:r>
    </w:p>
    <w:p w14:paraId="33E6A504" w14:textId="77777777" w:rsidR="00DD5F44" w:rsidRDefault="00DD5F44">
      <w:pPr>
        <w:spacing w:after="200" w:line="276" w:lineRule="auto"/>
        <w:rPr>
          <w:b/>
          <w:color w:val="17365D"/>
          <w:sz w:val="20"/>
        </w:rPr>
      </w:pPr>
      <w:r>
        <w:br w:type="page"/>
      </w:r>
    </w:p>
    <w:p w14:paraId="5ED04798" w14:textId="0493C484" w:rsidR="00206C2E" w:rsidRDefault="00000000">
      <w:pPr>
        <w:pStyle w:val="ExhibitTitle"/>
      </w:pPr>
      <w:r>
        <w:lastRenderedPageBreak/>
        <w:t>Exhibit 1. Selected implementation outcomes after six months</w:t>
      </w:r>
    </w:p>
    <w:tbl>
      <w:tblPr>
        <w:tblStyle w:val="TableGrid"/>
        <w:tblW w:w="0" w:type="auto"/>
        <w:jc w:val="center"/>
        <w:tblLook w:val="04A0" w:firstRow="1" w:lastRow="0" w:firstColumn="1" w:lastColumn="0" w:noHBand="0" w:noVBand="1"/>
      </w:tblPr>
      <w:tblGrid>
        <w:gridCol w:w="1800"/>
        <w:gridCol w:w="792"/>
        <w:gridCol w:w="1922"/>
        <w:gridCol w:w="1759"/>
        <w:gridCol w:w="1296"/>
        <w:gridCol w:w="1440"/>
      </w:tblGrid>
      <w:tr w:rsidR="00206C2E" w14:paraId="5AC4BA69" w14:textId="77777777">
        <w:trPr>
          <w:cantSplit/>
          <w:jc w:val="center"/>
        </w:trPr>
        <w:tc>
          <w:tcPr>
            <w:tcW w:w="1800" w:type="dxa"/>
            <w:shd w:val="clear" w:color="auto" w:fill="1F4E79"/>
            <w:vAlign w:val="center"/>
          </w:tcPr>
          <w:p w14:paraId="7757726C" w14:textId="77777777" w:rsidR="00206C2E" w:rsidRDefault="00000000" w:rsidP="00DD5F44">
            <w:r>
              <w:t>Customer</w:t>
            </w:r>
          </w:p>
        </w:tc>
        <w:tc>
          <w:tcPr>
            <w:tcW w:w="792" w:type="dxa"/>
            <w:shd w:val="clear" w:color="auto" w:fill="1F4E79"/>
            <w:vAlign w:val="center"/>
          </w:tcPr>
          <w:p w14:paraId="70CDA220" w14:textId="77777777" w:rsidR="00206C2E" w:rsidRDefault="00000000" w:rsidP="00DD5F44">
            <w:r>
              <w:t>Fleet</w:t>
            </w:r>
          </w:p>
        </w:tc>
        <w:tc>
          <w:tcPr>
            <w:tcW w:w="1656" w:type="dxa"/>
            <w:shd w:val="clear" w:color="auto" w:fill="1F4E79"/>
            <w:vAlign w:val="center"/>
          </w:tcPr>
          <w:p w14:paraId="1BD1A06F" w14:textId="77777777" w:rsidR="00206C2E" w:rsidRDefault="00000000" w:rsidP="00DD5F44">
            <w:r>
              <w:t>Recommendation adherence</w:t>
            </w:r>
          </w:p>
        </w:tc>
        <w:tc>
          <w:tcPr>
            <w:tcW w:w="1512" w:type="dxa"/>
            <w:shd w:val="clear" w:color="auto" w:fill="1F4E79"/>
            <w:vAlign w:val="center"/>
          </w:tcPr>
          <w:p w14:paraId="54049113" w14:textId="77777777" w:rsidR="00206C2E" w:rsidRDefault="00000000" w:rsidP="00DD5F44">
            <w:r>
              <w:t>Revenue/tractor change</w:t>
            </w:r>
          </w:p>
        </w:tc>
        <w:tc>
          <w:tcPr>
            <w:tcW w:w="1296" w:type="dxa"/>
            <w:shd w:val="clear" w:color="auto" w:fill="1F4E79"/>
            <w:vAlign w:val="center"/>
          </w:tcPr>
          <w:p w14:paraId="4E3E5C12" w14:textId="77777777" w:rsidR="00206C2E" w:rsidRDefault="00000000" w:rsidP="00DD5F44">
            <w:r>
              <w:t>Empty-mile change</w:t>
            </w:r>
          </w:p>
        </w:tc>
        <w:tc>
          <w:tcPr>
            <w:tcW w:w="1440" w:type="dxa"/>
            <w:shd w:val="clear" w:color="auto" w:fill="1F4E79"/>
            <w:vAlign w:val="center"/>
          </w:tcPr>
          <w:p w14:paraId="495EF408" w14:textId="77777777" w:rsidR="00206C2E" w:rsidRDefault="00000000" w:rsidP="00DD5F44">
            <w:r>
              <w:t>Planner productivity</w:t>
            </w:r>
          </w:p>
        </w:tc>
      </w:tr>
      <w:tr w:rsidR="00206C2E" w14:paraId="4B50116E" w14:textId="77777777">
        <w:trPr>
          <w:cantSplit/>
          <w:jc w:val="center"/>
        </w:trPr>
        <w:tc>
          <w:tcPr>
            <w:tcW w:w="1800" w:type="dxa"/>
            <w:vAlign w:val="center"/>
          </w:tcPr>
          <w:p w14:paraId="48303060" w14:textId="77777777" w:rsidR="00206C2E" w:rsidRDefault="00000000" w:rsidP="00DD5F44">
            <w:r>
              <w:t>Northstar Freight</w:t>
            </w:r>
          </w:p>
        </w:tc>
        <w:tc>
          <w:tcPr>
            <w:tcW w:w="792" w:type="dxa"/>
            <w:vAlign w:val="center"/>
          </w:tcPr>
          <w:p w14:paraId="7BBCB1BB" w14:textId="77777777" w:rsidR="00206C2E" w:rsidRDefault="00000000" w:rsidP="00DD5F44">
            <w:r>
              <w:t>420</w:t>
            </w:r>
          </w:p>
        </w:tc>
        <w:tc>
          <w:tcPr>
            <w:tcW w:w="1656" w:type="dxa"/>
            <w:vAlign w:val="center"/>
          </w:tcPr>
          <w:p w14:paraId="10FB517E" w14:textId="77777777" w:rsidR="00206C2E" w:rsidRDefault="00000000" w:rsidP="00DD5F44">
            <w:r>
              <w:t>82%</w:t>
            </w:r>
          </w:p>
        </w:tc>
        <w:tc>
          <w:tcPr>
            <w:tcW w:w="1512" w:type="dxa"/>
            <w:vAlign w:val="center"/>
          </w:tcPr>
          <w:p w14:paraId="1471FA4F" w14:textId="77777777" w:rsidR="00206C2E" w:rsidRDefault="00000000" w:rsidP="00DD5F44">
            <w:r>
              <w:t>+8.1%</w:t>
            </w:r>
          </w:p>
        </w:tc>
        <w:tc>
          <w:tcPr>
            <w:tcW w:w="1296" w:type="dxa"/>
            <w:vAlign w:val="center"/>
          </w:tcPr>
          <w:p w14:paraId="739C70A1" w14:textId="77777777" w:rsidR="00206C2E" w:rsidRDefault="00000000" w:rsidP="00DD5F44">
            <w:r>
              <w:t>-7.4%</w:t>
            </w:r>
          </w:p>
        </w:tc>
        <w:tc>
          <w:tcPr>
            <w:tcW w:w="1440" w:type="dxa"/>
            <w:vAlign w:val="center"/>
          </w:tcPr>
          <w:p w14:paraId="5399B8B6" w14:textId="77777777" w:rsidR="00206C2E" w:rsidRDefault="00000000" w:rsidP="00DD5F44">
            <w:r>
              <w:t>+32%</w:t>
            </w:r>
          </w:p>
        </w:tc>
      </w:tr>
      <w:tr w:rsidR="00206C2E" w14:paraId="1D55C95C" w14:textId="77777777">
        <w:trPr>
          <w:cantSplit/>
          <w:jc w:val="center"/>
        </w:trPr>
        <w:tc>
          <w:tcPr>
            <w:tcW w:w="1800" w:type="dxa"/>
            <w:shd w:val="clear" w:color="auto" w:fill="EAF2F8"/>
            <w:vAlign w:val="center"/>
          </w:tcPr>
          <w:p w14:paraId="59B997B4" w14:textId="77777777" w:rsidR="00206C2E" w:rsidRDefault="00000000" w:rsidP="00DD5F44">
            <w:r>
              <w:t>Redwood Carriers</w:t>
            </w:r>
          </w:p>
        </w:tc>
        <w:tc>
          <w:tcPr>
            <w:tcW w:w="792" w:type="dxa"/>
            <w:shd w:val="clear" w:color="auto" w:fill="EAF2F8"/>
            <w:vAlign w:val="center"/>
          </w:tcPr>
          <w:p w14:paraId="3FFDC010" w14:textId="77777777" w:rsidR="00206C2E" w:rsidRDefault="00000000" w:rsidP="00DD5F44">
            <w:r>
              <w:t>690</w:t>
            </w:r>
          </w:p>
        </w:tc>
        <w:tc>
          <w:tcPr>
            <w:tcW w:w="1656" w:type="dxa"/>
            <w:shd w:val="clear" w:color="auto" w:fill="EAF2F8"/>
            <w:vAlign w:val="center"/>
          </w:tcPr>
          <w:p w14:paraId="04BE0054" w14:textId="77777777" w:rsidR="00206C2E" w:rsidRDefault="00000000" w:rsidP="00DD5F44">
            <w:r>
              <w:t>61%</w:t>
            </w:r>
          </w:p>
        </w:tc>
        <w:tc>
          <w:tcPr>
            <w:tcW w:w="1512" w:type="dxa"/>
            <w:shd w:val="clear" w:color="auto" w:fill="EAF2F8"/>
            <w:vAlign w:val="center"/>
          </w:tcPr>
          <w:p w14:paraId="081F5A2E" w14:textId="77777777" w:rsidR="00206C2E" w:rsidRDefault="00000000" w:rsidP="00DD5F44">
            <w:r>
              <w:t>+3.6%</w:t>
            </w:r>
          </w:p>
        </w:tc>
        <w:tc>
          <w:tcPr>
            <w:tcW w:w="1296" w:type="dxa"/>
            <w:shd w:val="clear" w:color="auto" w:fill="EAF2F8"/>
            <w:vAlign w:val="center"/>
          </w:tcPr>
          <w:p w14:paraId="35D34B03" w14:textId="77777777" w:rsidR="00206C2E" w:rsidRDefault="00000000" w:rsidP="00DD5F44">
            <w:r>
              <w:t>-2.1%</w:t>
            </w:r>
          </w:p>
        </w:tc>
        <w:tc>
          <w:tcPr>
            <w:tcW w:w="1440" w:type="dxa"/>
            <w:shd w:val="clear" w:color="auto" w:fill="EAF2F8"/>
            <w:vAlign w:val="center"/>
          </w:tcPr>
          <w:p w14:paraId="05F183B1" w14:textId="77777777" w:rsidR="00206C2E" w:rsidRDefault="00000000" w:rsidP="00DD5F44">
            <w:r>
              <w:t>+18%</w:t>
            </w:r>
          </w:p>
        </w:tc>
      </w:tr>
      <w:tr w:rsidR="00206C2E" w14:paraId="06198616" w14:textId="77777777">
        <w:trPr>
          <w:cantSplit/>
          <w:jc w:val="center"/>
        </w:trPr>
        <w:tc>
          <w:tcPr>
            <w:tcW w:w="1800" w:type="dxa"/>
            <w:vAlign w:val="center"/>
          </w:tcPr>
          <w:p w14:paraId="7F1AA0C4" w14:textId="77777777" w:rsidR="00206C2E" w:rsidRDefault="00000000" w:rsidP="00DD5F44">
            <w:r>
              <w:t>Crescent Transport</w:t>
            </w:r>
          </w:p>
        </w:tc>
        <w:tc>
          <w:tcPr>
            <w:tcW w:w="792" w:type="dxa"/>
            <w:vAlign w:val="center"/>
          </w:tcPr>
          <w:p w14:paraId="3B9670F2" w14:textId="77777777" w:rsidR="00206C2E" w:rsidRDefault="00000000" w:rsidP="00DD5F44">
            <w:r>
              <w:t>310</w:t>
            </w:r>
          </w:p>
        </w:tc>
        <w:tc>
          <w:tcPr>
            <w:tcW w:w="1656" w:type="dxa"/>
            <w:vAlign w:val="center"/>
          </w:tcPr>
          <w:p w14:paraId="1577C391" w14:textId="77777777" w:rsidR="00206C2E" w:rsidRDefault="00000000" w:rsidP="00DD5F44">
            <w:r>
              <w:t>47%</w:t>
            </w:r>
          </w:p>
        </w:tc>
        <w:tc>
          <w:tcPr>
            <w:tcW w:w="1512" w:type="dxa"/>
            <w:vAlign w:val="center"/>
          </w:tcPr>
          <w:p w14:paraId="2E964860" w14:textId="77777777" w:rsidR="00206C2E" w:rsidRDefault="00000000" w:rsidP="00DD5F44">
            <w:r>
              <w:t>+1.2%</w:t>
            </w:r>
          </w:p>
        </w:tc>
        <w:tc>
          <w:tcPr>
            <w:tcW w:w="1296" w:type="dxa"/>
            <w:vAlign w:val="center"/>
          </w:tcPr>
          <w:p w14:paraId="56635547" w14:textId="77777777" w:rsidR="00206C2E" w:rsidRDefault="00000000" w:rsidP="00DD5F44">
            <w:r>
              <w:t>+0.8%</w:t>
            </w:r>
          </w:p>
        </w:tc>
        <w:tc>
          <w:tcPr>
            <w:tcW w:w="1440" w:type="dxa"/>
            <w:vAlign w:val="center"/>
          </w:tcPr>
          <w:p w14:paraId="3BCB6CCB" w14:textId="77777777" w:rsidR="00206C2E" w:rsidRDefault="00000000" w:rsidP="00DD5F44">
            <w:r>
              <w:t>+11%</w:t>
            </w:r>
          </w:p>
        </w:tc>
      </w:tr>
      <w:tr w:rsidR="00206C2E" w14:paraId="0FFAE9DC" w14:textId="77777777">
        <w:trPr>
          <w:cantSplit/>
          <w:jc w:val="center"/>
        </w:trPr>
        <w:tc>
          <w:tcPr>
            <w:tcW w:w="1800" w:type="dxa"/>
            <w:shd w:val="clear" w:color="auto" w:fill="EAF2F8"/>
            <w:vAlign w:val="center"/>
          </w:tcPr>
          <w:p w14:paraId="1C39A168" w14:textId="77777777" w:rsidR="00206C2E" w:rsidRDefault="00000000" w:rsidP="00DD5F44">
            <w:r>
              <w:t>Pioneer Logistics</w:t>
            </w:r>
          </w:p>
        </w:tc>
        <w:tc>
          <w:tcPr>
            <w:tcW w:w="792" w:type="dxa"/>
            <w:shd w:val="clear" w:color="auto" w:fill="EAF2F8"/>
            <w:vAlign w:val="center"/>
          </w:tcPr>
          <w:p w14:paraId="69F1DB16" w14:textId="77777777" w:rsidR="00206C2E" w:rsidRDefault="00000000" w:rsidP="00DD5F44">
            <w:r>
              <w:t>540</w:t>
            </w:r>
          </w:p>
        </w:tc>
        <w:tc>
          <w:tcPr>
            <w:tcW w:w="1656" w:type="dxa"/>
            <w:shd w:val="clear" w:color="auto" w:fill="EAF2F8"/>
            <w:vAlign w:val="center"/>
          </w:tcPr>
          <w:p w14:paraId="7E6EBFB1" w14:textId="77777777" w:rsidR="00206C2E" w:rsidRDefault="00000000" w:rsidP="00DD5F44">
            <w:r>
              <w:t>31%</w:t>
            </w:r>
          </w:p>
        </w:tc>
        <w:tc>
          <w:tcPr>
            <w:tcW w:w="1512" w:type="dxa"/>
            <w:shd w:val="clear" w:color="auto" w:fill="EAF2F8"/>
            <w:vAlign w:val="center"/>
          </w:tcPr>
          <w:p w14:paraId="79BCEE4C" w14:textId="77777777" w:rsidR="00206C2E" w:rsidRDefault="00000000" w:rsidP="00DD5F44">
            <w:r>
              <w:t>-0.4%</w:t>
            </w:r>
          </w:p>
        </w:tc>
        <w:tc>
          <w:tcPr>
            <w:tcW w:w="1296" w:type="dxa"/>
            <w:shd w:val="clear" w:color="auto" w:fill="EAF2F8"/>
            <w:vAlign w:val="center"/>
          </w:tcPr>
          <w:p w14:paraId="600EC355" w14:textId="77777777" w:rsidR="00206C2E" w:rsidRDefault="00000000" w:rsidP="00DD5F44">
            <w:r>
              <w:t>-1.7%</w:t>
            </w:r>
          </w:p>
        </w:tc>
        <w:tc>
          <w:tcPr>
            <w:tcW w:w="1440" w:type="dxa"/>
            <w:shd w:val="clear" w:color="auto" w:fill="EAF2F8"/>
            <w:vAlign w:val="center"/>
          </w:tcPr>
          <w:p w14:paraId="3168791C" w14:textId="77777777" w:rsidR="00206C2E" w:rsidRDefault="00000000" w:rsidP="00DD5F44">
            <w:r>
              <w:t>+6%</w:t>
            </w:r>
          </w:p>
        </w:tc>
      </w:tr>
      <w:tr w:rsidR="00206C2E" w14:paraId="016B766B" w14:textId="77777777">
        <w:trPr>
          <w:cantSplit/>
          <w:jc w:val="center"/>
        </w:trPr>
        <w:tc>
          <w:tcPr>
            <w:tcW w:w="1800" w:type="dxa"/>
            <w:vAlign w:val="center"/>
          </w:tcPr>
          <w:p w14:paraId="27EA69BA" w14:textId="77777777" w:rsidR="00206C2E" w:rsidRDefault="00000000" w:rsidP="00DD5F44">
            <w:r>
              <w:t>Summit Haulage</w:t>
            </w:r>
          </w:p>
        </w:tc>
        <w:tc>
          <w:tcPr>
            <w:tcW w:w="792" w:type="dxa"/>
            <w:vAlign w:val="center"/>
          </w:tcPr>
          <w:p w14:paraId="66E6BF03" w14:textId="77777777" w:rsidR="00206C2E" w:rsidRDefault="00000000" w:rsidP="00DD5F44">
            <w:r>
              <w:t>225</w:t>
            </w:r>
          </w:p>
        </w:tc>
        <w:tc>
          <w:tcPr>
            <w:tcW w:w="1656" w:type="dxa"/>
            <w:vAlign w:val="center"/>
          </w:tcPr>
          <w:p w14:paraId="3D3ACA01" w14:textId="77777777" w:rsidR="00206C2E" w:rsidRDefault="00000000" w:rsidP="00DD5F44">
            <w:r>
              <w:t>68%</w:t>
            </w:r>
          </w:p>
        </w:tc>
        <w:tc>
          <w:tcPr>
            <w:tcW w:w="1512" w:type="dxa"/>
            <w:vAlign w:val="center"/>
          </w:tcPr>
          <w:p w14:paraId="13646221" w14:textId="77777777" w:rsidR="00206C2E" w:rsidRDefault="00000000" w:rsidP="00DD5F44">
            <w:r>
              <w:t>+5.0%</w:t>
            </w:r>
          </w:p>
        </w:tc>
        <w:tc>
          <w:tcPr>
            <w:tcW w:w="1296" w:type="dxa"/>
            <w:vAlign w:val="center"/>
          </w:tcPr>
          <w:p w14:paraId="0D1556B2" w14:textId="77777777" w:rsidR="00206C2E" w:rsidRDefault="00000000" w:rsidP="00DD5F44">
            <w:r>
              <w:t>-5.9%</w:t>
            </w:r>
          </w:p>
        </w:tc>
        <w:tc>
          <w:tcPr>
            <w:tcW w:w="1440" w:type="dxa"/>
            <w:vAlign w:val="center"/>
          </w:tcPr>
          <w:p w14:paraId="06ABA1D1" w14:textId="77777777" w:rsidR="00206C2E" w:rsidRDefault="00000000" w:rsidP="00DD5F44">
            <w:r>
              <w:t>+24%</w:t>
            </w:r>
          </w:p>
        </w:tc>
      </w:tr>
      <w:tr w:rsidR="00206C2E" w14:paraId="6724B856" w14:textId="77777777">
        <w:trPr>
          <w:cantSplit/>
          <w:jc w:val="center"/>
        </w:trPr>
        <w:tc>
          <w:tcPr>
            <w:tcW w:w="1800" w:type="dxa"/>
            <w:shd w:val="clear" w:color="auto" w:fill="EAF2F8"/>
            <w:vAlign w:val="center"/>
          </w:tcPr>
          <w:p w14:paraId="12AA8FC9" w14:textId="77777777" w:rsidR="00206C2E" w:rsidRDefault="00000000" w:rsidP="00DD5F44">
            <w:r>
              <w:t>Portfolio median</w:t>
            </w:r>
          </w:p>
        </w:tc>
        <w:tc>
          <w:tcPr>
            <w:tcW w:w="792" w:type="dxa"/>
            <w:shd w:val="clear" w:color="auto" w:fill="EAF2F8"/>
            <w:vAlign w:val="center"/>
          </w:tcPr>
          <w:p w14:paraId="345ACC3E" w14:textId="77777777" w:rsidR="00206C2E" w:rsidRDefault="00000000" w:rsidP="00DD5F44">
            <w:r>
              <w:t>—</w:t>
            </w:r>
          </w:p>
        </w:tc>
        <w:tc>
          <w:tcPr>
            <w:tcW w:w="1656" w:type="dxa"/>
            <w:shd w:val="clear" w:color="auto" w:fill="EAF2F8"/>
            <w:vAlign w:val="center"/>
          </w:tcPr>
          <w:p w14:paraId="1A5A2AAC" w14:textId="77777777" w:rsidR="00206C2E" w:rsidRDefault="00000000" w:rsidP="00DD5F44">
            <w:r>
              <w:t>52%</w:t>
            </w:r>
          </w:p>
        </w:tc>
        <w:tc>
          <w:tcPr>
            <w:tcW w:w="1512" w:type="dxa"/>
            <w:shd w:val="clear" w:color="auto" w:fill="EAF2F8"/>
            <w:vAlign w:val="center"/>
          </w:tcPr>
          <w:p w14:paraId="1023D6E6" w14:textId="77777777" w:rsidR="00206C2E" w:rsidRDefault="00000000" w:rsidP="00DD5F44">
            <w:r>
              <w:t>+2.9%</w:t>
            </w:r>
          </w:p>
        </w:tc>
        <w:tc>
          <w:tcPr>
            <w:tcW w:w="1296" w:type="dxa"/>
            <w:shd w:val="clear" w:color="auto" w:fill="EAF2F8"/>
            <w:vAlign w:val="center"/>
          </w:tcPr>
          <w:p w14:paraId="49F7FF8C" w14:textId="77777777" w:rsidR="00206C2E" w:rsidRDefault="00000000" w:rsidP="00DD5F44">
            <w:r>
              <w:t>-1.9%</w:t>
            </w:r>
          </w:p>
        </w:tc>
        <w:tc>
          <w:tcPr>
            <w:tcW w:w="1440" w:type="dxa"/>
            <w:shd w:val="clear" w:color="auto" w:fill="EAF2F8"/>
            <w:vAlign w:val="center"/>
          </w:tcPr>
          <w:p w14:paraId="4A1372B7" w14:textId="77777777" w:rsidR="00206C2E" w:rsidRDefault="00000000" w:rsidP="00DD5F44">
            <w:r>
              <w:t>+17%</w:t>
            </w:r>
          </w:p>
        </w:tc>
      </w:tr>
    </w:tbl>
    <w:p w14:paraId="06C09DA0" w14:textId="77777777" w:rsidR="00206C2E" w:rsidRDefault="00000000" w:rsidP="00DD5F44">
      <w:r>
        <w:t>Note: All companies and figures are fictional. “Adherence” means that the recommended driver-load action was executed without a material change within the decision window. Performance changes are measured against each customer’s preimplementation baseline and are not controlled experiments.</w:t>
      </w:r>
    </w:p>
    <w:p w14:paraId="266BC98F" w14:textId="77777777" w:rsidR="00206C2E" w:rsidRDefault="00000000" w:rsidP="00DD5F44">
      <w:pPr>
        <w:pStyle w:val="Heading1"/>
      </w:pPr>
      <w:r>
        <w:t>What Was an Override?</w:t>
      </w:r>
    </w:p>
    <w:p w14:paraId="102042E7" w14:textId="77777777" w:rsidR="00206C2E" w:rsidRDefault="00000000" w:rsidP="00DD5F44">
      <w:r>
        <w:t>The customer-success team had initially treated every override as evidence that the user had rejected the recommendation. Dispatchers objected. They argued that the label combined at least four different situations: the recommendation was infeasible because the data were wrong; the recommendation was feasible but failed to reflect a customer or driver commitment; the user preferred a different action based on experience; or an operating event changed before execution.</w:t>
      </w:r>
    </w:p>
    <w:p w14:paraId="40B34420" w14:textId="77777777" w:rsidR="00206C2E" w:rsidRDefault="00000000" w:rsidP="00DD5F44">
      <w:r>
        <w:t>The platform captured whether a recommendation was followed, but it did not consistently capture why it was changed. Free-text notes were optional, and terminology varied by customer. In one two-week audit, analysts reconstructed 1,284 overrides by interviewing planners and reviewing messages, telematics, and order histories. The results weakened the simple interpretation that users merely lacked trust.</w:t>
      </w:r>
    </w:p>
    <w:p w14:paraId="0E4F0171" w14:textId="77777777" w:rsidR="00DD5F44" w:rsidRDefault="00DD5F44">
      <w:pPr>
        <w:spacing w:after="200" w:line="276" w:lineRule="auto"/>
        <w:rPr>
          <w:b/>
          <w:color w:val="17365D"/>
          <w:sz w:val="20"/>
        </w:rPr>
      </w:pPr>
      <w:r>
        <w:br w:type="page"/>
      </w:r>
    </w:p>
    <w:p w14:paraId="38495FE9" w14:textId="3255529C" w:rsidR="00206C2E" w:rsidRDefault="00000000">
      <w:pPr>
        <w:pStyle w:val="ExhibitTitle"/>
      </w:pPr>
      <w:r>
        <w:lastRenderedPageBreak/>
        <w:t>Exhibit 2. Reconstructed reasons for 1,284 recommendation overrides</w:t>
      </w:r>
    </w:p>
    <w:tbl>
      <w:tblPr>
        <w:tblStyle w:val="TableGrid"/>
        <w:tblW w:w="0" w:type="auto"/>
        <w:jc w:val="center"/>
        <w:tblLook w:val="04A0" w:firstRow="1" w:lastRow="0" w:firstColumn="1" w:lastColumn="0" w:noHBand="0" w:noVBand="1"/>
      </w:tblPr>
      <w:tblGrid>
        <w:gridCol w:w="3386"/>
        <w:gridCol w:w="3384"/>
        <w:gridCol w:w="3386"/>
      </w:tblGrid>
      <w:tr w:rsidR="00206C2E" w14:paraId="63A07374" w14:textId="77777777">
        <w:trPr>
          <w:cantSplit/>
          <w:jc w:val="center"/>
        </w:trPr>
        <w:tc>
          <w:tcPr>
            <w:tcW w:w="3389" w:type="dxa"/>
            <w:shd w:val="clear" w:color="auto" w:fill="1F4E79"/>
            <w:vAlign w:val="center"/>
          </w:tcPr>
          <w:p w14:paraId="71F130C7" w14:textId="77777777" w:rsidR="00206C2E" w:rsidRDefault="00000000" w:rsidP="00DD5F44">
            <w:r>
              <w:t>Reason assigned after review</w:t>
            </w:r>
          </w:p>
        </w:tc>
        <w:tc>
          <w:tcPr>
            <w:tcW w:w="3389" w:type="dxa"/>
            <w:shd w:val="clear" w:color="auto" w:fill="1F4E79"/>
            <w:vAlign w:val="center"/>
          </w:tcPr>
          <w:p w14:paraId="4CE938E7" w14:textId="77777777" w:rsidR="00206C2E" w:rsidRDefault="00000000" w:rsidP="00DD5F44">
            <w:r>
              <w:t>Share</w:t>
            </w:r>
          </w:p>
        </w:tc>
        <w:tc>
          <w:tcPr>
            <w:tcW w:w="3389" w:type="dxa"/>
            <w:shd w:val="clear" w:color="auto" w:fill="1F4E79"/>
            <w:vAlign w:val="center"/>
          </w:tcPr>
          <w:p w14:paraId="2A38E470" w14:textId="77777777" w:rsidR="00206C2E" w:rsidRDefault="00000000" w:rsidP="00DD5F44">
            <w:r>
              <w:t>Illustrative issue</w:t>
            </w:r>
          </w:p>
        </w:tc>
      </w:tr>
      <w:tr w:rsidR="00206C2E" w14:paraId="32A2E5DC" w14:textId="77777777">
        <w:trPr>
          <w:cantSplit/>
          <w:jc w:val="center"/>
        </w:trPr>
        <w:tc>
          <w:tcPr>
            <w:tcW w:w="3389" w:type="dxa"/>
            <w:vAlign w:val="center"/>
          </w:tcPr>
          <w:p w14:paraId="1D7A1005" w14:textId="77777777" w:rsidR="00206C2E" w:rsidRDefault="00000000" w:rsidP="00DD5F44">
            <w:r>
              <w:t>Missing or stale operating data</w:t>
            </w:r>
          </w:p>
        </w:tc>
        <w:tc>
          <w:tcPr>
            <w:tcW w:w="3389" w:type="dxa"/>
            <w:vAlign w:val="center"/>
          </w:tcPr>
          <w:p w14:paraId="6EC5525A" w14:textId="77777777" w:rsidR="00206C2E" w:rsidRDefault="00000000" w:rsidP="00DD5F44">
            <w:r>
              <w:t>24%</w:t>
            </w:r>
          </w:p>
        </w:tc>
        <w:tc>
          <w:tcPr>
            <w:tcW w:w="3389" w:type="dxa"/>
            <w:vAlign w:val="center"/>
          </w:tcPr>
          <w:p w14:paraId="22F52BED" w14:textId="77777777" w:rsidR="00206C2E" w:rsidRDefault="00000000" w:rsidP="00DD5F44">
            <w:r>
              <w:t>Driver location, hours, equipment, appointment, or load status</w:t>
            </w:r>
          </w:p>
        </w:tc>
      </w:tr>
      <w:tr w:rsidR="00206C2E" w14:paraId="27A640FD" w14:textId="77777777">
        <w:trPr>
          <w:cantSplit/>
          <w:jc w:val="center"/>
        </w:trPr>
        <w:tc>
          <w:tcPr>
            <w:tcW w:w="3389" w:type="dxa"/>
            <w:shd w:val="clear" w:color="auto" w:fill="EAF2F8"/>
            <w:vAlign w:val="center"/>
          </w:tcPr>
          <w:p w14:paraId="2E58FCB1" w14:textId="77777777" w:rsidR="00206C2E" w:rsidRDefault="00000000" w:rsidP="00DD5F44">
            <w:r>
              <w:t>Unmodeled commitment or preference</w:t>
            </w:r>
          </w:p>
        </w:tc>
        <w:tc>
          <w:tcPr>
            <w:tcW w:w="3389" w:type="dxa"/>
            <w:shd w:val="clear" w:color="auto" w:fill="EAF2F8"/>
            <w:vAlign w:val="center"/>
          </w:tcPr>
          <w:p w14:paraId="26E2EEFD" w14:textId="77777777" w:rsidR="00206C2E" w:rsidRDefault="00000000" w:rsidP="00DD5F44">
            <w:r>
              <w:t>21%</w:t>
            </w:r>
          </w:p>
        </w:tc>
        <w:tc>
          <w:tcPr>
            <w:tcW w:w="3389" w:type="dxa"/>
            <w:shd w:val="clear" w:color="auto" w:fill="EAF2F8"/>
            <w:vAlign w:val="center"/>
          </w:tcPr>
          <w:p w14:paraId="6AF72DD5" w14:textId="77777777" w:rsidR="00206C2E" w:rsidRDefault="00000000" w:rsidP="00DD5F44">
            <w:r>
              <w:t>Home time, customer promise, driver relationship, shop visit</w:t>
            </w:r>
          </w:p>
        </w:tc>
      </w:tr>
      <w:tr w:rsidR="00206C2E" w14:paraId="7EEE2DD4" w14:textId="77777777">
        <w:trPr>
          <w:cantSplit/>
          <w:jc w:val="center"/>
        </w:trPr>
        <w:tc>
          <w:tcPr>
            <w:tcW w:w="3389" w:type="dxa"/>
            <w:vAlign w:val="center"/>
          </w:tcPr>
          <w:p w14:paraId="3017E016" w14:textId="77777777" w:rsidR="00206C2E" w:rsidRDefault="00000000" w:rsidP="00DD5F44">
            <w:r>
              <w:t>Recommendation no longer current</w:t>
            </w:r>
          </w:p>
        </w:tc>
        <w:tc>
          <w:tcPr>
            <w:tcW w:w="3389" w:type="dxa"/>
            <w:vAlign w:val="center"/>
          </w:tcPr>
          <w:p w14:paraId="1EFC6BFC" w14:textId="77777777" w:rsidR="00206C2E" w:rsidRDefault="00000000" w:rsidP="00DD5F44">
            <w:r>
              <w:t>16%</w:t>
            </w:r>
          </w:p>
        </w:tc>
        <w:tc>
          <w:tcPr>
            <w:tcW w:w="3389" w:type="dxa"/>
            <w:vAlign w:val="center"/>
          </w:tcPr>
          <w:p w14:paraId="54C75AAB" w14:textId="77777777" w:rsidR="00206C2E" w:rsidRDefault="00000000" w:rsidP="00DD5F44">
            <w:r>
              <w:t>Late pickup, cancellation, breakdown, weather, or new priority load</w:t>
            </w:r>
          </w:p>
        </w:tc>
      </w:tr>
      <w:tr w:rsidR="00206C2E" w14:paraId="32319EA7" w14:textId="77777777">
        <w:trPr>
          <w:cantSplit/>
          <w:jc w:val="center"/>
        </w:trPr>
        <w:tc>
          <w:tcPr>
            <w:tcW w:w="3389" w:type="dxa"/>
            <w:shd w:val="clear" w:color="auto" w:fill="EAF2F8"/>
            <w:vAlign w:val="center"/>
          </w:tcPr>
          <w:p w14:paraId="12612ACF" w14:textId="77777777" w:rsidR="00206C2E" w:rsidRDefault="00000000" w:rsidP="00DD5F44">
            <w:r>
              <w:t>Dispatcher expected a better network outcome</w:t>
            </w:r>
          </w:p>
        </w:tc>
        <w:tc>
          <w:tcPr>
            <w:tcW w:w="3389" w:type="dxa"/>
            <w:shd w:val="clear" w:color="auto" w:fill="EAF2F8"/>
            <w:vAlign w:val="center"/>
          </w:tcPr>
          <w:p w14:paraId="34B4065D" w14:textId="77777777" w:rsidR="00206C2E" w:rsidRDefault="00000000" w:rsidP="00DD5F44">
            <w:r>
              <w:t>15%</w:t>
            </w:r>
          </w:p>
        </w:tc>
        <w:tc>
          <w:tcPr>
            <w:tcW w:w="3389" w:type="dxa"/>
            <w:shd w:val="clear" w:color="auto" w:fill="EAF2F8"/>
            <w:vAlign w:val="center"/>
          </w:tcPr>
          <w:p w14:paraId="7964FC57" w14:textId="77777777" w:rsidR="00206C2E" w:rsidRDefault="00000000" w:rsidP="00DD5F44">
            <w:r>
              <w:t>Positioning judgment or anticipated freight not visible in system</w:t>
            </w:r>
          </w:p>
        </w:tc>
      </w:tr>
      <w:tr w:rsidR="00206C2E" w14:paraId="28E57B84" w14:textId="77777777">
        <w:trPr>
          <w:cantSplit/>
          <w:jc w:val="center"/>
        </w:trPr>
        <w:tc>
          <w:tcPr>
            <w:tcW w:w="3389" w:type="dxa"/>
            <w:vAlign w:val="center"/>
          </w:tcPr>
          <w:p w14:paraId="34A028B0" w14:textId="77777777" w:rsidR="00206C2E" w:rsidRDefault="00000000" w:rsidP="00DD5F44">
            <w:r>
              <w:t>Local KPI or incentive conflict</w:t>
            </w:r>
          </w:p>
        </w:tc>
        <w:tc>
          <w:tcPr>
            <w:tcW w:w="3389" w:type="dxa"/>
            <w:vAlign w:val="center"/>
          </w:tcPr>
          <w:p w14:paraId="7F45AE5E" w14:textId="77777777" w:rsidR="00206C2E" w:rsidRDefault="00000000" w:rsidP="00DD5F44">
            <w:r>
              <w:t>11%</w:t>
            </w:r>
          </w:p>
        </w:tc>
        <w:tc>
          <w:tcPr>
            <w:tcW w:w="3389" w:type="dxa"/>
            <w:vAlign w:val="center"/>
          </w:tcPr>
          <w:p w14:paraId="2F3F4276" w14:textId="77777777" w:rsidR="00206C2E" w:rsidRDefault="00000000" w:rsidP="00DD5F44">
            <w:r>
              <w:t>Empty-mile target, customer scorecard, fleet ownership, bonus rule</w:t>
            </w:r>
          </w:p>
        </w:tc>
      </w:tr>
      <w:tr w:rsidR="00206C2E" w14:paraId="081A140C" w14:textId="77777777">
        <w:trPr>
          <w:cantSplit/>
          <w:jc w:val="center"/>
        </w:trPr>
        <w:tc>
          <w:tcPr>
            <w:tcW w:w="3389" w:type="dxa"/>
            <w:shd w:val="clear" w:color="auto" w:fill="EAF2F8"/>
            <w:vAlign w:val="center"/>
          </w:tcPr>
          <w:p w14:paraId="06C037D8" w14:textId="77777777" w:rsidR="00206C2E" w:rsidRDefault="00000000" w:rsidP="00DD5F44">
            <w:r>
              <w:t>Workflow or interface friction</w:t>
            </w:r>
          </w:p>
        </w:tc>
        <w:tc>
          <w:tcPr>
            <w:tcW w:w="3389" w:type="dxa"/>
            <w:shd w:val="clear" w:color="auto" w:fill="EAF2F8"/>
            <w:vAlign w:val="center"/>
          </w:tcPr>
          <w:p w14:paraId="172B187C" w14:textId="77777777" w:rsidR="00206C2E" w:rsidRDefault="00000000" w:rsidP="00DD5F44">
            <w:r>
              <w:t>8%</w:t>
            </w:r>
          </w:p>
        </w:tc>
        <w:tc>
          <w:tcPr>
            <w:tcW w:w="3389" w:type="dxa"/>
            <w:shd w:val="clear" w:color="auto" w:fill="EAF2F8"/>
            <w:vAlign w:val="center"/>
          </w:tcPr>
          <w:p w14:paraId="6B571DAB" w14:textId="77777777" w:rsidR="00206C2E" w:rsidRDefault="00000000" w:rsidP="00DD5F44">
            <w:r>
              <w:t>Recommendation arrived late or required duplicate entry</w:t>
            </w:r>
          </w:p>
        </w:tc>
      </w:tr>
      <w:tr w:rsidR="00206C2E" w14:paraId="0913939D" w14:textId="77777777">
        <w:trPr>
          <w:cantSplit/>
          <w:jc w:val="center"/>
        </w:trPr>
        <w:tc>
          <w:tcPr>
            <w:tcW w:w="3389" w:type="dxa"/>
            <w:vAlign w:val="center"/>
          </w:tcPr>
          <w:p w14:paraId="6B7FCBA0" w14:textId="77777777" w:rsidR="00206C2E" w:rsidRDefault="00000000" w:rsidP="00DD5F44">
            <w:r>
              <w:t>No defensible reason identified</w:t>
            </w:r>
          </w:p>
        </w:tc>
        <w:tc>
          <w:tcPr>
            <w:tcW w:w="3389" w:type="dxa"/>
            <w:vAlign w:val="center"/>
          </w:tcPr>
          <w:p w14:paraId="20B3ACF7" w14:textId="77777777" w:rsidR="00206C2E" w:rsidRDefault="00000000" w:rsidP="00DD5F44">
            <w:r>
              <w:t>5%</w:t>
            </w:r>
          </w:p>
        </w:tc>
        <w:tc>
          <w:tcPr>
            <w:tcW w:w="3389" w:type="dxa"/>
            <w:vAlign w:val="center"/>
          </w:tcPr>
          <w:p w14:paraId="27FF52AE" w14:textId="77777777" w:rsidR="00206C2E" w:rsidRDefault="00000000" w:rsidP="00DD5F44">
            <w:r>
              <w:t>Habit, discomfort, or undocumented preference</w:t>
            </w:r>
          </w:p>
        </w:tc>
      </w:tr>
    </w:tbl>
    <w:p w14:paraId="4F129C91" w14:textId="77777777" w:rsidR="00206C2E" w:rsidRDefault="00000000" w:rsidP="00DD5F44">
      <w:pPr>
        <w:pStyle w:val="Heading1"/>
      </w:pPr>
      <w:r>
        <w:t>Five Competing Explanations</w:t>
      </w:r>
    </w:p>
    <w:p w14:paraId="180D38CD" w14:textId="77777777" w:rsidR="00206C2E" w:rsidRDefault="00000000" w:rsidP="00DD5F44">
      <w:r>
        <w:rPr>
          <w:b/>
          <w:color w:val="1F4E79"/>
        </w:rPr>
        <w:t xml:space="preserve">The product explanation problem. </w:t>
      </w:r>
      <w:r>
        <w:t>Dispatchers could see the recommended action but not always the tradeoffs behind it. Some wanted to know which future loads, driver constraints, or network effects made the recommendation attractive. Product leaders proposed a natural-language explanation feature, but researchers warned that a persuasive explanation could increase compliance even when the underlying data were wrong.</w:t>
      </w:r>
    </w:p>
    <w:p w14:paraId="4E48C6F2" w14:textId="77777777" w:rsidR="00206C2E" w:rsidRDefault="00000000" w:rsidP="00DD5F44">
      <w:r>
        <w:rPr>
          <w:b/>
          <w:color w:val="1F4E79"/>
        </w:rPr>
        <w:t xml:space="preserve">The data-readiness problem. </w:t>
      </w:r>
      <w:r>
        <w:t>The optimization engine depended on timely, accurate information. Some customers had weak processes for updating driver availability, load status, appointment flexibility, or home-time commitments. Customer executives often described these as software errors, while dispatchers quietly corrected the record through manual decisions.</w:t>
      </w:r>
    </w:p>
    <w:p w14:paraId="59050DC6" w14:textId="77777777" w:rsidR="00206C2E" w:rsidRDefault="00000000" w:rsidP="00DD5F44">
      <w:r>
        <w:rPr>
          <w:b/>
          <w:color w:val="1F4E79"/>
        </w:rPr>
        <w:t xml:space="preserve">The operating-model problem. </w:t>
      </w:r>
      <w:r>
        <w:t>At several carriers, dispatch authority remained divided among regional planners, driver managers, customer service representatives, and brokerage teams. The software optimized across the network, but employees were evaluated on local service, empty miles, or the performance of their assigned fleet. A recommendation could be best for the company and still be costly for the person asked to execute it.</w:t>
      </w:r>
    </w:p>
    <w:p w14:paraId="31EE594B" w14:textId="77777777" w:rsidR="00206C2E" w:rsidRDefault="00000000" w:rsidP="00DD5F44">
      <w:r>
        <w:rPr>
          <w:b/>
          <w:color w:val="1F4E79"/>
        </w:rPr>
        <w:t xml:space="preserve">The capability and identity problem. </w:t>
      </w:r>
      <w:r>
        <w:t>Experienced dispatchers had built careers on judgment, relationships, and rapid problem solving. Some interpreted automation as a challenge to their expertise or job security. Others welcomed relief from repetitive searching but feared being held responsible for a recommendation they had not created.</w:t>
      </w:r>
    </w:p>
    <w:p w14:paraId="1FE46F76" w14:textId="77777777" w:rsidR="00206C2E" w:rsidRDefault="00000000" w:rsidP="00DD5F44">
      <w:r>
        <w:rPr>
          <w:b/>
          <w:color w:val="1F4E79"/>
        </w:rPr>
        <w:t xml:space="preserve">The algorithm-learning problem. </w:t>
      </w:r>
      <w:r>
        <w:t>The product team acknowledged that some overrides contained information the model did not possess. Treating every exception as noncompliance could suppress valuable learning. Yet allowing broad discretion without structured feedback made it difficult to distinguish legitimate exceptions from habitual rejection.</w:t>
      </w:r>
    </w:p>
    <w:p w14:paraId="1994B3D9" w14:textId="77777777" w:rsidR="00206C2E" w:rsidRDefault="00000000" w:rsidP="00DD5F44">
      <w:pPr>
        <w:pStyle w:val="Heading1"/>
      </w:pPr>
      <w:r>
        <w:lastRenderedPageBreak/>
        <w:t>The Customer Contrast</w:t>
      </w:r>
    </w:p>
    <w:p w14:paraId="78C44539" w14:textId="77777777" w:rsidR="00206C2E" w:rsidRDefault="00000000" w:rsidP="00DD5F44">
      <w:r>
        <w:t>Northstar Freight had reached high adherence quickly. Its president announced that the platform would become the default decision process, reassured employees that roles would change rather than disappear, and moved planners to a shared operating desk. For the first month, Dispatch Dynamics personnel joined daily review sessions. Every override required one of six reason codes, and management changed scorecards so that planners were not penalized for network-level empty moves that supported a better downstream plan.</w:t>
      </w:r>
    </w:p>
    <w:p w14:paraId="1CA0A128" w14:textId="77777777" w:rsidR="00206C2E" w:rsidRDefault="00000000" w:rsidP="00DD5F44">
      <w:r>
        <w:t>Pioneer Logistics followed a different path. The software was added to the existing transportation-management system, but regional dispatch groups retained their own methods and performance targets. Training focused on interface navigation. Supervisors told users to apply judgment whenever a recommendation ‘did not look right.’ Dispatchers continued to rely on private spreadsheets and text messages from drivers. Pioneer’s chief operating officer argued that these practices preserved customer service; Dispatch Dynamics’ account team believed they prevented the platform from ever receiving a fair test.</w:t>
      </w:r>
    </w:p>
    <w:p w14:paraId="59534256" w14:textId="77777777" w:rsidR="00206C2E" w:rsidRDefault="00000000" w:rsidP="00DD5F44">
      <w:r>
        <w:t>The contrast was suggestive but not conclusive. Northstar had a denser network, cleaner data, and a more centralized culture before implementation. Pioneer served more irregular customers and had more drivers with individualized schedules. A change-management intervention that worked at Northstar might fail at Pioneer—or might simply expose product limitations sooner.</w:t>
      </w:r>
    </w:p>
    <w:p w14:paraId="6A24D008" w14:textId="77777777" w:rsidR="00206C2E" w:rsidRDefault="00000000" w:rsidP="00DD5F44">
      <w:pPr>
        <w:pStyle w:val="Heading1"/>
      </w:pPr>
      <w:r>
        <w:t>A Proposed Learning Agenda</w:t>
      </w:r>
    </w:p>
    <w:p w14:paraId="214DA73D" w14:textId="77777777" w:rsidR="00206C2E" w:rsidRDefault="00000000" w:rsidP="00DD5F44">
      <w:r>
        <w:t>Chen asked four internal teams to propose how Dispatch Dynamics should spend a newly approved $1.2 million adoption budget. The proposals competed for the same implementation staff and engineering capacity.</w:t>
      </w:r>
    </w:p>
    <w:p w14:paraId="3B158AF4" w14:textId="77777777" w:rsidR="00206C2E" w:rsidRDefault="00000000">
      <w:pPr>
        <w:pStyle w:val="ExhibitTitle"/>
      </w:pPr>
      <w:r>
        <w:t>Exhibit 3. Candidate initiatives for the next twelve months</w:t>
      </w:r>
    </w:p>
    <w:tbl>
      <w:tblPr>
        <w:tblStyle w:val="TableGrid"/>
        <w:tblW w:w="0" w:type="auto"/>
        <w:jc w:val="center"/>
        <w:tblLook w:val="04A0" w:firstRow="1" w:lastRow="0" w:firstColumn="1" w:lastColumn="0" w:noHBand="0" w:noVBand="1"/>
      </w:tblPr>
      <w:tblGrid>
        <w:gridCol w:w="2539"/>
        <w:gridCol w:w="2538"/>
        <w:gridCol w:w="2540"/>
        <w:gridCol w:w="2539"/>
      </w:tblGrid>
      <w:tr w:rsidR="00206C2E" w14:paraId="6E569C85" w14:textId="77777777">
        <w:trPr>
          <w:cantSplit/>
          <w:jc w:val="center"/>
        </w:trPr>
        <w:tc>
          <w:tcPr>
            <w:tcW w:w="2541" w:type="dxa"/>
            <w:shd w:val="clear" w:color="auto" w:fill="1F4E79"/>
            <w:vAlign w:val="center"/>
          </w:tcPr>
          <w:p w14:paraId="44808A88" w14:textId="77777777" w:rsidR="00206C2E" w:rsidRDefault="00000000" w:rsidP="00DD5F44">
            <w:r>
              <w:t>Initiative</w:t>
            </w:r>
          </w:p>
        </w:tc>
        <w:tc>
          <w:tcPr>
            <w:tcW w:w="2541" w:type="dxa"/>
            <w:shd w:val="clear" w:color="auto" w:fill="1F4E79"/>
            <w:vAlign w:val="center"/>
          </w:tcPr>
          <w:p w14:paraId="124F5FB9" w14:textId="77777777" w:rsidR="00206C2E" w:rsidRDefault="00000000" w:rsidP="00DD5F44">
            <w:r>
              <w:t>Cost</w:t>
            </w:r>
          </w:p>
        </w:tc>
        <w:tc>
          <w:tcPr>
            <w:tcW w:w="2541" w:type="dxa"/>
            <w:shd w:val="clear" w:color="auto" w:fill="1F4E79"/>
            <w:vAlign w:val="center"/>
          </w:tcPr>
          <w:p w14:paraId="0A17E74B" w14:textId="77777777" w:rsidR="00206C2E" w:rsidRDefault="00000000" w:rsidP="00DD5F44">
            <w:r>
              <w:t>Primary question</w:t>
            </w:r>
          </w:p>
        </w:tc>
        <w:tc>
          <w:tcPr>
            <w:tcW w:w="2541" w:type="dxa"/>
            <w:shd w:val="clear" w:color="auto" w:fill="1F4E79"/>
            <w:vAlign w:val="center"/>
          </w:tcPr>
          <w:p w14:paraId="5210ECBB" w14:textId="77777777" w:rsidR="00206C2E" w:rsidRDefault="00000000" w:rsidP="00DD5F44">
            <w:r>
              <w:t>Major limitation</w:t>
            </w:r>
          </w:p>
        </w:tc>
      </w:tr>
      <w:tr w:rsidR="00206C2E" w14:paraId="18823074" w14:textId="77777777">
        <w:trPr>
          <w:cantSplit/>
          <w:jc w:val="center"/>
        </w:trPr>
        <w:tc>
          <w:tcPr>
            <w:tcW w:w="2541" w:type="dxa"/>
            <w:vAlign w:val="center"/>
          </w:tcPr>
          <w:p w14:paraId="0BBF8B50" w14:textId="77777777" w:rsidR="00206C2E" w:rsidRDefault="00000000" w:rsidP="00DD5F44">
            <w:r>
              <w:t>Embedded field research at 3 customers</w:t>
            </w:r>
          </w:p>
        </w:tc>
        <w:tc>
          <w:tcPr>
            <w:tcW w:w="2541" w:type="dxa"/>
            <w:vAlign w:val="center"/>
          </w:tcPr>
          <w:p w14:paraId="4E502C3E" w14:textId="77777777" w:rsidR="00206C2E" w:rsidRDefault="00000000" w:rsidP="00DD5F44">
            <w:r>
              <w:t>$360,000</w:t>
            </w:r>
          </w:p>
        </w:tc>
        <w:tc>
          <w:tcPr>
            <w:tcW w:w="2541" w:type="dxa"/>
            <w:vAlign w:val="center"/>
          </w:tcPr>
          <w:p w14:paraId="74BE187E" w14:textId="77777777" w:rsidR="00206C2E" w:rsidRDefault="00000000" w:rsidP="00DD5F44">
            <w:r>
              <w:t>What happens at the moment of acceptance or override?</w:t>
            </w:r>
          </w:p>
        </w:tc>
        <w:tc>
          <w:tcPr>
            <w:tcW w:w="2541" w:type="dxa"/>
            <w:vAlign w:val="center"/>
          </w:tcPr>
          <w:p w14:paraId="3BBE8F09" w14:textId="77777777" w:rsidR="00206C2E" w:rsidRDefault="00000000" w:rsidP="00DD5F44">
            <w:r>
              <w:t>Small sample; behavior may change under observation</w:t>
            </w:r>
          </w:p>
        </w:tc>
      </w:tr>
      <w:tr w:rsidR="00206C2E" w14:paraId="2BFDDE18" w14:textId="77777777">
        <w:trPr>
          <w:cantSplit/>
          <w:jc w:val="center"/>
        </w:trPr>
        <w:tc>
          <w:tcPr>
            <w:tcW w:w="2541" w:type="dxa"/>
            <w:shd w:val="clear" w:color="auto" w:fill="EAF2F8"/>
            <w:vAlign w:val="center"/>
          </w:tcPr>
          <w:p w14:paraId="55897FFF" w14:textId="77777777" w:rsidR="00206C2E" w:rsidRDefault="00000000" w:rsidP="00DD5F44">
            <w:r>
              <w:t>Mandatory structured override reasons</w:t>
            </w:r>
          </w:p>
        </w:tc>
        <w:tc>
          <w:tcPr>
            <w:tcW w:w="2541" w:type="dxa"/>
            <w:shd w:val="clear" w:color="auto" w:fill="EAF2F8"/>
            <w:vAlign w:val="center"/>
          </w:tcPr>
          <w:p w14:paraId="170039C6" w14:textId="77777777" w:rsidR="00206C2E" w:rsidRDefault="00000000" w:rsidP="00DD5F44">
            <w:r>
              <w:t>$220,000</w:t>
            </w:r>
          </w:p>
        </w:tc>
        <w:tc>
          <w:tcPr>
            <w:tcW w:w="2541" w:type="dxa"/>
            <w:shd w:val="clear" w:color="auto" w:fill="EAF2F8"/>
            <w:vAlign w:val="center"/>
          </w:tcPr>
          <w:p w14:paraId="7EB51620" w14:textId="77777777" w:rsidR="00206C2E" w:rsidRDefault="00000000" w:rsidP="00DD5F44">
            <w:r>
              <w:t>Which exceptions are legitimate, recurrent, or preventable?</w:t>
            </w:r>
          </w:p>
        </w:tc>
        <w:tc>
          <w:tcPr>
            <w:tcW w:w="2541" w:type="dxa"/>
            <w:shd w:val="clear" w:color="auto" w:fill="EAF2F8"/>
            <w:vAlign w:val="center"/>
          </w:tcPr>
          <w:p w14:paraId="041EC87C" w14:textId="77777777" w:rsidR="00206C2E" w:rsidRDefault="00000000" w:rsidP="00DD5F44">
            <w:r>
              <w:t>Adds user burden; reason codes may be gamed</w:t>
            </w:r>
          </w:p>
        </w:tc>
      </w:tr>
      <w:tr w:rsidR="00206C2E" w14:paraId="02EB7DE5" w14:textId="77777777">
        <w:trPr>
          <w:cantSplit/>
          <w:jc w:val="center"/>
        </w:trPr>
        <w:tc>
          <w:tcPr>
            <w:tcW w:w="2541" w:type="dxa"/>
            <w:vAlign w:val="center"/>
          </w:tcPr>
          <w:p w14:paraId="453DF62A" w14:textId="77777777" w:rsidR="00206C2E" w:rsidRDefault="00000000" w:rsidP="00DD5F44">
            <w:r>
              <w:t>Explanation and confidence interface</w:t>
            </w:r>
          </w:p>
        </w:tc>
        <w:tc>
          <w:tcPr>
            <w:tcW w:w="2541" w:type="dxa"/>
            <w:vAlign w:val="center"/>
          </w:tcPr>
          <w:p w14:paraId="751992FB" w14:textId="77777777" w:rsidR="00206C2E" w:rsidRDefault="00000000" w:rsidP="00DD5F44">
            <w:r>
              <w:t>$410,000</w:t>
            </w:r>
          </w:p>
        </w:tc>
        <w:tc>
          <w:tcPr>
            <w:tcW w:w="2541" w:type="dxa"/>
            <w:vAlign w:val="center"/>
          </w:tcPr>
          <w:p w14:paraId="71288C56" w14:textId="77777777" w:rsidR="00206C2E" w:rsidRDefault="00000000" w:rsidP="00DD5F44">
            <w:r>
              <w:t>Does transparency increase appropriate reliance?</w:t>
            </w:r>
          </w:p>
        </w:tc>
        <w:tc>
          <w:tcPr>
            <w:tcW w:w="2541" w:type="dxa"/>
            <w:vAlign w:val="center"/>
          </w:tcPr>
          <w:p w14:paraId="3B9CA179" w14:textId="77777777" w:rsidR="00206C2E" w:rsidRDefault="00000000" w:rsidP="00DD5F44">
            <w:r>
              <w:t>May create false confidence or information overload</w:t>
            </w:r>
          </w:p>
        </w:tc>
      </w:tr>
      <w:tr w:rsidR="00206C2E" w14:paraId="5E535BEF" w14:textId="77777777">
        <w:trPr>
          <w:cantSplit/>
          <w:jc w:val="center"/>
        </w:trPr>
        <w:tc>
          <w:tcPr>
            <w:tcW w:w="2541" w:type="dxa"/>
            <w:shd w:val="clear" w:color="auto" w:fill="EAF2F8"/>
            <w:vAlign w:val="center"/>
          </w:tcPr>
          <w:p w14:paraId="1F4972FD" w14:textId="77777777" w:rsidR="00206C2E" w:rsidRDefault="00000000" w:rsidP="00DD5F44">
            <w:r>
              <w:t>Data-quality and workflow diagnostics</w:t>
            </w:r>
          </w:p>
        </w:tc>
        <w:tc>
          <w:tcPr>
            <w:tcW w:w="2541" w:type="dxa"/>
            <w:shd w:val="clear" w:color="auto" w:fill="EAF2F8"/>
            <w:vAlign w:val="center"/>
          </w:tcPr>
          <w:p w14:paraId="5FCD219D" w14:textId="77777777" w:rsidR="00206C2E" w:rsidRDefault="00000000" w:rsidP="00DD5F44">
            <w:r>
              <w:t>$330,000</w:t>
            </w:r>
          </w:p>
        </w:tc>
        <w:tc>
          <w:tcPr>
            <w:tcW w:w="2541" w:type="dxa"/>
            <w:shd w:val="clear" w:color="auto" w:fill="EAF2F8"/>
            <w:vAlign w:val="center"/>
          </w:tcPr>
          <w:p w14:paraId="5B8F5C60" w14:textId="77777777" w:rsidR="00206C2E" w:rsidRDefault="00000000" w:rsidP="00DD5F44">
            <w:r>
              <w:t>Are recommendations rejected because inputs or timing are weak?</w:t>
            </w:r>
          </w:p>
        </w:tc>
        <w:tc>
          <w:tcPr>
            <w:tcW w:w="2541" w:type="dxa"/>
            <w:shd w:val="clear" w:color="auto" w:fill="EAF2F8"/>
            <w:vAlign w:val="center"/>
          </w:tcPr>
          <w:p w14:paraId="25D7AEA3" w14:textId="77777777" w:rsidR="00206C2E" w:rsidRDefault="00000000" w:rsidP="00DD5F44">
            <w:r>
              <w:t>Could be seen as blaming the customer</w:t>
            </w:r>
          </w:p>
        </w:tc>
      </w:tr>
      <w:tr w:rsidR="00206C2E" w14:paraId="0D717E66" w14:textId="77777777">
        <w:trPr>
          <w:cantSplit/>
          <w:jc w:val="center"/>
        </w:trPr>
        <w:tc>
          <w:tcPr>
            <w:tcW w:w="2541" w:type="dxa"/>
            <w:vAlign w:val="center"/>
          </w:tcPr>
          <w:p w14:paraId="3EFACCEC" w14:textId="77777777" w:rsidR="00206C2E" w:rsidRDefault="00000000" w:rsidP="00DD5F44">
            <w:r>
              <w:t>Supervisor scorecard redesign pilots</w:t>
            </w:r>
          </w:p>
        </w:tc>
        <w:tc>
          <w:tcPr>
            <w:tcW w:w="2541" w:type="dxa"/>
            <w:vAlign w:val="center"/>
          </w:tcPr>
          <w:p w14:paraId="36943F32" w14:textId="77777777" w:rsidR="00206C2E" w:rsidRDefault="00000000" w:rsidP="00DD5F44">
            <w:r>
              <w:t>$180,000</w:t>
            </w:r>
          </w:p>
        </w:tc>
        <w:tc>
          <w:tcPr>
            <w:tcW w:w="2541" w:type="dxa"/>
            <w:vAlign w:val="center"/>
          </w:tcPr>
          <w:p w14:paraId="70492340" w14:textId="77777777" w:rsidR="00206C2E" w:rsidRDefault="00000000" w:rsidP="00DD5F44">
            <w:r>
              <w:t>Do incentives and local KPIs drive rejection?</w:t>
            </w:r>
          </w:p>
        </w:tc>
        <w:tc>
          <w:tcPr>
            <w:tcW w:w="2541" w:type="dxa"/>
            <w:vAlign w:val="center"/>
          </w:tcPr>
          <w:p w14:paraId="40DA3008" w14:textId="77777777" w:rsidR="00206C2E" w:rsidRDefault="00000000" w:rsidP="00DD5F44">
            <w:r>
              <w:t>Requires executive cooperation and labor-sensitive changes</w:t>
            </w:r>
          </w:p>
        </w:tc>
      </w:tr>
      <w:tr w:rsidR="00206C2E" w14:paraId="28AA3583" w14:textId="77777777">
        <w:trPr>
          <w:cantSplit/>
          <w:jc w:val="center"/>
        </w:trPr>
        <w:tc>
          <w:tcPr>
            <w:tcW w:w="2541" w:type="dxa"/>
            <w:shd w:val="clear" w:color="auto" w:fill="EAF2F8"/>
            <w:vAlign w:val="center"/>
          </w:tcPr>
          <w:p w14:paraId="560ABA36" w14:textId="77777777" w:rsidR="00206C2E" w:rsidRDefault="00000000" w:rsidP="00DD5F44">
            <w:r>
              <w:t>Randomized rollout of adoption supports</w:t>
            </w:r>
          </w:p>
        </w:tc>
        <w:tc>
          <w:tcPr>
            <w:tcW w:w="2541" w:type="dxa"/>
            <w:shd w:val="clear" w:color="auto" w:fill="EAF2F8"/>
            <w:vAlign w:val="center"/>
          </w:tcPr>
          <w:p w14:paraId="74969B6E" w14:textId="77777777" w:rsidR="00206C2E" w:rsidRDefault="00000000" w:rsidP="00DD5F44">
            <w:r>
              <w:t>$290,000</w:t>
            </w:r>
          </w:p>
        </w:tc>
        <w:tc>
          <w:tcPr>
            <w:tcW w:w="2541" w:type="dxa"/>
            <w:shd w:val="clear" w:color="auto" w:fill="EAF2F8"/>
            <w:vAlign w:val="center"/>
          </w:tcPr>
          <w:p w14:paraId="50D5C7CA" w14:textId="77777777" w:rsidR="00206C2E" w:rsidRDefault="00000000" w:rsidP="00DD5F44">
            <w:r>
              <w:t>Which implementation practices causally improve use?</w:t>
            </w:r>
          </w:p>
        </w:tc>
        <w:tc>
          <w:tcPr>
            <w:tcW w:w="2541" w:type="dxa"/>
            <w:shd w:val="clear" w:color="auto" w:fill="EAF2F8"/>
            <w:vAlign w:val="center"/>
          </w:tcPr>
          <w:p w14:paraId="345E81E6" w14:textId="77777777" w:rsidR="00206C2E" w:rsidRDefault="00000000" w:rsidP="00DD5F44">
            <w:r>
              <w:t>Operationally difficult; customers may resist control groups</w:t>
            </w:r>
          </w:p>
        </w:tc>
      </w:tr>
    </w:tbl>
    <w:p w14:paraId="24D3BE14" w14:textId="77777777" w:rsidR="00206C2E" w:rsidRDefault="00000000" w:rsidP="00DD5F44">
      <w:r>
        <w:t xml:space="preserve">The chief product officer favored explanations and confidence indicators. The head of implementation argued that the company should first enforce structured overrides and daily operating reviews. The chief data officer believed that neither approach would work until customer data quality could be measured </w:t>
      </w:r>
      <w:r>
        <w:lastRenderedPageBreak/>
        <w:t>continuously. Sales leaders worried that mandatory processes would lengthen implementations and make the product appear difficult to use. One board member asked a more uncomfortable question: Was adherence even the right objective, or should Dispatch Dynamics measure the quality of human-machine decisions rather than the percentage of recommendations followed?</w:t>
      </w:r>
    </w:p>
    <w:p w14:paraId="6A2FD6C9" w14:textId="77777777" w:rsidR="00206C2E" w:rsidRDefault="00000000" w:rsidP="00DD5F44">
      <w:r>
        <w:t>Chen also had to decide how candidly to discuss the issue with customers. Publishing portfolio-level adherence benchmarks could create urgency, but customers differed in network design and operating complexity. Linking fees or performance guarantees to adherence might align incentives, but it could encourage superficial compliance. Redefining the product around ‘human-guided automation’ might improve credibility, yet weaken the company’s promise of scalable decision automation.</w:t>
      </w:r>
    </w:p>
    <w:p w14:paraId="484FCED6" w14:textId="77777777" w:rsidR="00206C2E" w:rsidRDefault="00000000" w:rsidP="00DD5F44">
      <w:pPr>
        <w:pStyle w:val="Heading1"/>
      </w:pPr>
      <w:r>
        <w:t>The Decision</w:t>
      </w:r>
    </w:p>
    <w:p w14:paraId="38BEBE36" w14:textId="77777777" w:rsidR="00206C2E" w:rsidRDefault="00000000" w:rsidP="00DD5F44">
      <w:r>
        <w:t>At the quarterly meeting, Chen would be expected to recommend both an immediate customer policy and a longer-term research program. She needed to decide what Dispatch Dynamics should try to learn, what evidence would distinguish among competing explanations, and how the company should act while that evidence was being collected.</w:t>
      </w:r>
    </w:p>
    <w:p w14:paraId="0893E8A0" w14:textId="77777777" w:rsidR="00206C2E" w:rsidRDefault="00000000" w:rsidP="00DD5F44">
      <w:r>
        <w:t>The stakes extended beyond current renewals. If the company treated low adherence as a training problem when the real cause was poor data or missing constraints, it could damage trust. If it treated every override as valuable human insight, it might preserve the very habits the software was designed to replace. If it optimized for adherence alone, it might encourage users to follow recommendations mechanically rather than exercise judgment when circumstances genuinely changed.</w:t>
      </w:r>
    </w:p>
    <w:p w14:paraId="2D4FEEC9" w14:textId="77777777" w:rsidR="00206C2E" w:rsidRDefault="00000000" w:rsidP="00DD5F44">
      <w:r>
        <w:t>Chen closed the dashboard and wrote one question at the top of her notes: What would it mean for a customer to be using Dispatch Dynamics well?</w:t>
      </w:r>
    </w:p>
    <w:p w14:paraId="0710D515" w14:textId="77777777" w:rsidR="000F51A9" w:rsidRDefault="000F51A9" w:rsidP="000F51A9">
      <w:pPr>
        <w:pStyle w:val="Heading1"/>
      </w:pPr>
      <w:r>
        <w:t>Framing questions</w:t>
      </w:r>
    </w:p>
    <w:p w14:paraId="2BCB3263" w14:textId="77777777" w:rsidR="000F51A9" w:rsidRDefault="000F51A9" w:rsidP="000F51A9">
      <w:pPr>
        <w:pStyle w:val="ListParagraph"/>
        <w:numPr>
          <w:ilvl w:val="0"/>
          <w:numId w:val="11"/>
        </w:numPr>
        <w:spacing w:after="80" w:line="247" w:lineRule="auto"/>
      </w:pPr>
      <w:r>
        <w:t xml:space="preserve">Identify the different metrics that can be used to evaluate every aspect of the performance of the system?  Organize these into a pyramid to indicate </w:t>
      </w:r>
      <w:proofErr w:type="gramStart"/>
      <w:r>
        <w:t>the relative</w:t>
      </w:r>
      <w:proofErr w:type="gramEnd"/>
      <w:r>
        <w:t xml:space="preserve"> importance, following the style given here.</w:t>
      </w:r>
    </w:p>
    <w:p w14:paraId="2D58DCCD" w14:textId="77777777" w:rsidR="000F51A9" w:rsidRDefault="000F51A9" w:rsidP="000F51A9">
      <w:pPr>
        <w:pStyle w:val="ListParagraph"/>
        <w:numPr>
          <w:ilvl w:val="0"/>
          <w:numId w:val="11"/>
        </w:numPr>
        <w:spacing w:after="80" w:line="247" w:lineRule="auto"/>
      </w:pPr>
      <w:r>
        <w:t xml:space="preserve">What are the types of decisions? Use the </w:t>
      </w:r>
      <w:hyperlink r:id="rId8" w:anchor="types-of-decision-settings" w:history="1">
        <w:r w:rsidRPr="00B20FB6">
          <w:rPr>
            <w:rStyle w:val="Hyperlink"/>
          </w:rPr>
          <w:t>list of decision types here as a guide</w:t>
        </w:r>
      </w:hyperlink>
      <w:r>
        <w:t xml:space="preserve">, illustrated by the </w:t>
      </w:r>
      <w:hyperlink r:id="rId9" w:anchor="from-apps-to-types" w:history="1">
        <w:r w:rsidRPr="00B20FB6">
          <w:rPr>
            <w:rStyle w:val="Hyperlink"/>
          </w:rPr>
          <w:t>applications here</w:t>
        </w:r>
      </w:hyperlink>
      <w:r>
        <w:t xml:space="preserve">.  </w:t>
      </w:r>
    </w:p>
    <w:p w14:paraId="451B8056" w14:textId="77777777" w:rsidR="000F51A9" w:rsidRDefault="000F51A9" w:rsidP="000F51A9">
      <w:pPr>
        <w:pStyle w:val="ListParagraph"/>
        <w:numPr>
          <w:ilvl w:val="0"/>
          <w:numId w:val="11"/>
        </w:numPr>
        <w:spacing w:after="80" w:line="247" w:lineRule="auto"/>
      </w:pPr>
      <w:r>
        <w:t xml:space="preserve">Use the </w:t>
      </w:r>
      <w:hyperlink r:id="rId10" w:history="1">
        <w:r w:rsidRPr="00B20FB6">
          <w:rPr>
            <w:rStyle w:val="Hyperlink"/>
          </w:rPr>
          <w:t>interactive framing matrix here</w:t>
        </w:r>
      </w:hyperlink>
      <w:r>
        <w:t xml:space="preserve"> to fill out the performance metrics along the top (from most to least important) followed by the list of decisions (in any order).  Use your judgment to assess whether the impact of each decision on each metric is H (high impact), M (medium), L (low) or N (none).  Finally, use the resulting matrix to rank the decisions in terms of their impact on the most important metrics.</w:t>
      </w:r>
    </w:p>
    <w:p w14:paraId="4B17313E" w14:textId="77777777" w:rsidR="000F51A9" w:rsidRDefault="000F51A9" w:rsidP="000F51A9">
      <w:pPr>
        <w:pStyle w:val="ListParagraph"/>
        <w:numPr>
          <w:ilvl w:val="0"/>
          <w:numId w:val="11"/>
        </w:numPr>
        <w:spacing w:after="80" w:line="247" w:lineRule="auto"/>
      </w:pPr>
      <w:r>
        <w:t xml:space="preserve">What are the different sources of uncertainty?  Use the </w:t>
      </w:r>
      <w:hyperlink r:id="rId11" w:anchor="categories" w:history="1">
        <w:r w:rsidRPr="00B20FB6">
          <w:rPr>
            <w:rStyle w:val="Hyperlink"/>
          </w:rPr>
          <w:t>12 categories of uncertainty here as a guide</w:t>
        </w:r>
      </w:hyperlink>
      <w:r>
        <w:t>.</w:t>
      </w:r>
    </w:p>
    <w:p w14:paraId="53C8F4BC" w14:textId="77777777" w:rsidR="000F51A9" w:rsidRDefault="000F51A9" w:rsidP="000F51A9">
      <w:pPr>
        <w:pStyle w:val="ListParagraph"/>
        <w:numPr>
          <w:ilvl w:val="0"/>
          <w:numId w:val="11"/>
        </w:numPr>
        <w:spacing w:after="80" w:line="247" w:lineRule="auto"/>
      </w:pPr>
      <w:r>
        <w:t>Repeat the exercise in (3), but this time using uncertainties instead of decisions.</w:t>
      </w:r>
    </w:p>
    <w:p w14:paraId="5F61A8A3" w14:textId="77777777" w:rsidR="000F51A9" w:rsidRDefault="000F51A9" w:rsidP="000F51A9">
      <w:pPr>
        <w:pStyle w:val="ListParagraph"/>
        <w:numPr>
          <w:ilvl w:val="1"/>
          <w:numId w:val="11"/>
        </w:numPr>
        <w:spacing w:after="80" w:line="247" w:lineRule="auto"/>
      </w:pPr>
      <w:r>
        <w:t>Which sources of uncertainty would be captured using average performance over time?</w:t>
      </w:r>
    </w:p>
    <w:p w14:paraId="408F54F9" w14:textId="77777777" w:rsidR="000F51A9" w:rsidRDefault="000F51A9" w:rsidP="000F51A9">
      <w:pPr>
        <w:pStyle w:val="ListParagraph"/>
        <w:numPr>
          <w:ilvl w:val="1"/>
          <w:numId w:val="11"/>
        </w:numPr>
        <w:spacing w:after="80" w:line="247" w:lineRule="auto"/>
      </w:pPr>
      <w:r>
        <w:t>Which sources of uncertainty represent forms of risk that are not properly captured using averages?</w:t>
      </w:r>
    </w:p>
    <w:p w14:paraId="55BBB38A" w14:textId="77777777" w:rsidR="000F51A9" w:rsidRDefault="000F51A9" w:rsidP="000F51A9">
      <w:pPr>
        <w:pStyle w:val="ListParagraph"/>
        <w:numPr>
          <w:ilvl w:val="0"/>
          <w:numId w:val="11"/>
        </w:numPr>
        <w:spacing w:after="80" w:line="247" w:lineRule="auto"/>
      </w:pPr>
      <w:r>
        <w:t xml:space="preserve">Choose the single decision that seems to have the highest impact on the most important metric.  </w:t>
      </w:r>
    </w:p>
    <w:p w14:paraId="1CE3A23B" w14:textId="77777777" w:rsidR="000F51A9" w:rsidRDefault="000F51A9" w:rsidP="000F51A9">
      <w:pPr>
        <w:pStyle w:val="ListParagraph"/>
        <w:numPr>
          <w:ilvl w:val="1"/>
          <w:numId w:val="11"/>
        </w:numPr>
        <w:spacing w:after="80" w:line="247" w:lineRule="auto"/>
      </w:pPr>
      <w:r>
        <w:t>What approach do you think you would use to make this decision?</w:t>
      </w:r>
    </w:p>
    <w:p w14:paraId="63D376E4" w14:textId="77777777" w:rsidR="000F51A9" w:rsidRDefault="000F51A9" w:rsidP="000F51A9">
      <w:pPr>
        <w:pStyle w:val="ListParagraph"/>
        <w:numPr>
          <w:ilvl w:val="1"/>
          <w:numId w:val="11"/>
        </w:numPr>
        <w:spacing w:after="80" w:line="247" w:lineRule="auto"/>
      </w:pPr>
      <w:r>
        <w:t>What data appears to be necessary to make this decision, including the calculation of any performance metrics where the decision would have a high or medium impact.</w:t>
      </w:r>
    </w:p>
    <w:p w14:paraId="4284F147" w14:textId="77777777" w:rsidR="000F51A9" w:rsidRDefault="000F51A9" w:rsidP="000F51A9">
      <w:pPr>
        <w:pStyle w:val="ListParagraph"/>
        <w:numPr>
          <w:ilvl w:val="0"/>
          <w:numId w:val="11"/>
        </w:numPr>
        <w:spacing w:after="80" w:line="247" w:lineRule="auto"/>
      </w:pPr>
      <w:r>
        <w:t xml:space="preserve">Using the same </w:t>
      </w:r>
      <w:proofErr w:type="gramStart"/>
      <w:r>
        <w:t>decision</w:t>
      </w:r>
      <w:proofErr w:type="gramEnd"/>
      <w:r>
        <w:t xml:space="preserve"> you identified in (6), identify the people, departments, groups or organizations that you would need to work with to implement the decision?</w:t>
      </w:r>
    </w:p>
    <w:p w14:paraId="2996E678" w14:textId="77777777" w:rsidR="000F51A9" w:rsidRDefault="000F51A9">
      <w:pPr>
        <w:spacing w:after="200" w:line="276" w:lineRule="auto"/>
        <w:rPr>
          <w:rFonts w:asciiTheme="majorHAnsi" w:eastAsiaTheme="majorEastAsia" w:hAnsiTheme="majorHAnsi" w:cstheme="majorBidi"/>
          <w:b/>
          <w:bCs/>
          <w:color w:val="17365D"/>
          <w:sz w:val="28"/>
          <w:szCs w:val="28"/>
        </w:rPr>
      </w:pPr>
      <w:r>
        <w:br w:type="page"/>
      </w:r>
    </w:p>
    <w:p w14:paraId="6E885262" w14:textId="6C4B8E17" w:rsidR="00206C2E" w:rsidRDefault="00000000" w:rsidP="00DD5F44">
      <w:pPr>
        <w:pStyle w:val="Heading1"/>
      </w:pPr>
      <w:r>
        <w:lastRenderedPageBreak/>
        <w:t>Discussion Questions</w:t>
      </w:r>
    </w:p>
    <w:p w14:paraId="7ECD70BC" w14:textId="77777777" w:rsidR="00206C2E" w:rsidRDefault="00000000" w:rsidP="000F51A9">
      <w:pPr>
        <w:pStyle w:val="ListNumber"/>
        <w:numPr>
          <w:ilvl w:val="0"/>
          <w:numId w:val="13"/>
        </w:numPr>
      </w:pPr>
      <w:r>
        <w:t>How should Dispatch Dynamics define successful use: recommendation adherence, business performance, quality of exceptions, or some combination?</w:t>
      </w:r>
    </w:p>
    <w:p w14:paraId="2A6AD54F" w14:textId="77777777" w:rsidR="00206C2E" w:rsidRDefault="00000000" w:rsidP="000F51A9">
      <w:pPr>
        <w:pStyle w:val="ListNumber"/>
        <w:numPr>
          <w:ilvl w:val="0"/>
          <w:numId w:val="13"/>
        </w:numPr>
      </w:pPr>
      <w:r>
        <w:t xml:space="preserve">What hypotheses could explain low adoption, and what evidence would discriminate </w:t>
      </w:r>
      <w:proofErr w:type="gramStart"/>
      <w:r>
        <w:t>among</w:t>
      </w:r>
      <w:proofErr w:type="gramEnd"/>
      <w:r>
        <w:t xml:space="preserve"> them?</w:t>
      </w:r>
    </w:p>
    <w:p w14:paraId="5F85F8A9" w14:textId="77777777" w:rsidR="00206C2E" w:rsidRDefault="00000000" w:rsidP="000F51A9">
      <w:pPr>
        <w:pStyle w:val="ListNumber"/>
        <w:numPr>
          <w:ilvl w:val="0"/>
          <w:numId w:val="13"/>
        </w:numPr>
      </w:pPr>
      <w:r>
        <w:t>Which override categories represent product defects, data defects, organizational conflicts, or valuable human information?</w:t>
      </w:r>
    </w:p>
    <w:p w14:paraId="31A157BE" w14:textId="77777777" w:rsidR="00206C2E" w:rsidRDefault="00000000" w:rsidP="000F51A9">
      <w:pPr>
        <w:pStyle w:val="ListNumber"/>
        <w:numPr>
          <w:ilvl w:val="0"/>
          <w:numId w:val="13"/>
        </w:numPr>
      </w:pPr>
      <w:r>
        <w:t>How should the company redesign implementation, training, incentives, workflow, or the product itself?</w:t>
      </w:r>
    </w:p>
    <w:p w14:paraId="15AFE087" w14:textId="77777777" w:rsidR="00206C2E" w:rsidRDefault="00000000" w:rsidP="000F51A9">
      <w:pPr>
        <w:pStyle w:val="ListNumber"/>
        <w:numPr>
          <w:ilvl w:val="0"/>
          <w:numId w:val="13"/>
        </w:numPr>
      </w:pPr>
      <w:r>
        <w:t>Which initiatives in Exhibit 3 should receive the $1.2 million budget, and in what sequence?</w:t>
      </w:r>
    </w:p>
    <w:p w14:paraId="17455FFB" w14:textId="77777777" w:rsidR="00206C2E" w:rsidRDefault="00000000" w:rsidP="000F51A9">
      <w:pPr>
        <w:pStyle w:val="ListNumber"/>
        <w:numPr>
          <w:ilvl w:val="0"/>
          <w:numId w:val="13"/>
        </w:numPr>
      </w:pPr>
      <w:r>
        <w:t>What risks arise from increasing adherence too aggressively?</w:t>
      </w:r>
    </w:p>
    <w:p w14:paraId="5B7FD7DB" w14:textId="77777777" w:rsidR="00206C2E" w:rsidRDefault="00000000" w:rsidP="000F51A9">
      <w:pPr>
        <w:pStyle w:val="ListNumber"/>
        <w:numPr>
          <w:ilvl w:val="0"/>
          <w:numId w:val="13"/>
        </w:numPr>
      </w:pPr>
      <w:r>
        <w:t>How should Dispatch Dynamics learn from customer overrides without allowing users to bypass the system indefinitely?</w:t>
      </w:r>
    </w:p>
    <w:p w14:paraId="5288C4D3" w14:textId="77777777" w:rsidR="00206C2E" w:rsidRDefault="00000000" w:rsidP="00DD5F44">
      <w:pPr>
        <w:pStyle w:val="Heading1"/>
      </w:pPr>
      <w:r>
        <w:t>Case Note</w:t>
      </w:r>
    </w:p>
    <w:p w14:paraId="63F3AB71" w14:textId="31932E34" w:rsidR="00F95AA2" w:rsidRDefault="00000000" w:rsidP="00DD5F44">
      <w:r>
        <w:t>This fictional teaching case was informed by recurring themes in the uploaded truckload decision-automation case studies and change-management materials: adoption and performance links, trust in recommendations, the shift from manual planning to exception management, the importance of workflow and leadership alignment, evolving employee roles, data readiness, and the continuing need for legitimate human intervention. All organizations, people, events, and numerical exhibits in this case are invented for instructional use.</w:t>
      </w:r>
    </w:p>
    <w:p w14:paraId="76604140" w14:textId="77777777" w:rsidR="00F95AA2" w:rsidRDefault="00F95AA2" w:rsidP="00DD5F44">
      <w:r>
        <w:br w:type="page"/>
      </w:r>
    </w:p>
    <w:p w14:paraId="17479E5E" w14:textId="13581428" w:rsidR="00206C2E" w:rsidRDefault="00F95AA2" w:rsidP="00DD5F44">
      <w:pPr>
        <w:pStyle w:val="Heading1"/>
      </w:pPr>
      <w:r>
        <w:lastRenderedPageBreak/>
        <w:t>ChatGPT notes:</w:t>
      </w:r>
    </w:p>
    <w:p w14:paraId="040D5598" w14:textId="2CE8E60D" w:rsidR="00DD5F44" w:rsidRDefault="00DD5F44" w:rsidP="00DD5F44">
      <w:pPr>
        <w:pStyle w:val="Heading2"/>
      </w:pPr>
      <w:r>
        <w:t>Prompt</w:t>
      </w:r>
    </w:p>
    <w:p w14:paraId="6E69EF85" w14:textId="44F644F0" w:rsidR="00DD5F44" w:rsidRPr="00DD5F44" w:rsidRDefault="00DD5F44" w:rsidP="00DD5F44">
      <w:r w:rsidRPr="00DD5F44">
        <w:t xml:space="preserve">Write </w:t>
      </w:r>
      <w:r>
        <w:t>a</w:t>
      </w:r>
      <w:r w:rsidRPr="00DD5F44">
        <w:t xml:space="preserve"> case study using the context of a software company, "Dynamic Dispatching" that develops software for the truckload industry. You may use the case studies in the folder C:\Users\Warren Powell\Dropbox\Warrens documents\Optimal Dynamics\OD case studies, but do not use any names of real companies. "Dispatch Dynamics" has enjoyed </w:t>
      </w:r>
      <w:proofErr w:type="gramStart"/>
      <w:r w:rsidRPr="00DD5F44">
        <w:t>a number of</w:t>
      </w:r>
      <w:proofErr w:type="gramEnd"/>
      <w:r w:rsidRPr="00DD5F44">
        <w:t xml:space="preserve"> successful implementations of their dispatch software, but there are too many companies who do not use the recommendations of what to do with each driver. The business challenge is to discover why these customers are not using the </w:t>
      </w:r>
      <w:proofErr w:type="gramStart"/>
      <w:r w:rsidRPr="00DD5F44">
        <w:t>system, and</w:t>
      </w:r>
      <w:proofErr w:type="gramEnd"/>
      <w:r w:rsidRPr="00DD5F44">
        <w:t xml:space="preserve"> explore the steps that "Dispatch Dynamics" might take to better understand user acceptance.</w:t>
      </w:r>
    </w:p>
    <w:p w14:paraId="2BA9D937" w14:textId="7711E1B8" w:rsidR="00DD5F44" w:rsidRDefault="00DD5F44" w:rsidP="00DD5F44">
      <w:pPr>
        <w:pStyle w:val="Heading2"/>
      </w:pPr>
      <w:r>
        <w:t>Summary</w:t>
      </w:r>
    </w:p>
    <w:p w14:paraId="76DE8475" w14:textId="5DACB8C1" w:rsidR="00F95AA2" w:rsidRPr="00F95AA2" w:rsidRDefault="00F95AA2" w:rsidP="00DD5F44">
      <w:r w:rsidRPr="00F95AA2">
        <w:t>The new case incorporates recurring themes from the uploaded materials, including:</w:t>
      </w:r>
    </w:p>
    <w:p w14:paraId="518C7858" w14:textId="77777777" w:rsidR="00F95AA2" w:rsidRPr="00F95AA2" w:rsidRDefault="00F95AA2" w:rsidP="00DD5F44">
      <w:pPr>
        <w:pStyle w:val="ListParagraph"/>
        <w:numPr>
          <w:ilvl w:val="0"/>
          <w:numId w:val="10"/>
        </w:numPr>
      </w:pPr>
      <w:r w:rsidRPr="00F95AA2">
        <w:t xml:space="preserve">The relationship between recommendation adoption and operating performance </w:t>
      </w:r>
    </w:p>
    <w:p w14:paraId="14F1BAFD" w14:textId="77777777" w:rsidR="00F95AA2" w:rsidRPr="00F95AA2" w:rsidRDefault="00F95AA2" w:rsidP="00DD5F44">
      <w:pPr>
        <w:pStyle w:val="ListParagraph"/>
        <w:numPr>
          <w:ilvl w:val="0"/>
          <w:numId w:val="10"/>
        </w:numPr>
      </w:pPr>
      <w:r w:rsidRPr="00F95AA2">
        <w:t xml:space="preserve">The transition from manual dispatching to exception management </w:t>
      </w:r>
    </w:p>
    <w:p w14:paraId="189F286C" w14:textId="77777777" w:rsidR="00F95AA2" w:rsidRPr="00F95AA2" w:rsidRDefault="00F95AA2" w:rsidP="00DD5F44">
      <w:pPr>
        <w:pStyle w:val="ListParagraph"/>
        <w:numPr>
          <w:ilvl w:val="0"/>
          <w:numId w:val="10"/>
        </w:numPr>
      </w:pPr>
      <w:r w:rsidRPr="00F95AA2">
        <w:t xml:space="preserve">Trust in automated recommendations </w:t>
      </w:r>
    </w:p>
    <w:p w14:paraId="2CDE66AA" w14:textId="77777777" w:rsidR="00F95AA2" w:rsidRPr="00F95AA2" w:rsidRDefault="00F95AA2" w:rsidP="00DD5F44">
      <w:pPr>
        <w:pStyle w:val="ListParagraph"/>
        <w:numPr>
          <w:ilvl w:val="0"/>
          <w:numId w:val="10"/>
        </w:numPr>
      </w:pPr>
      <w:r w:rsidRPr="00F95AA2">
        <w:t xml:space="preserve">Data quality and missing operational constraints </w:t>
      </w:r>
    </w:p>
    <w:p w14:paraId="6B1560C5" w14:textId="77777777" w:rsidR="00F95AA2" w:rsidRPr="00F95AA2" w:rsidRDefault="00F95AA2" w:rsidP="00DD5F44">
      <w:pPr>
        <w:pStyle w:val="ListParagraph"/>
        <w:numPr>
          <w:ilvl w:val="0"/>
          <w:numId w:val="10"/>
        </w:numPr>
      </w:pPr>
      <w:r w:rsidRPr="00F95AA2">
        <w:t xml:space="preserve">Conflicts between network-wide recommendations and local performance measures </w:t>
      </w:r>
    </w:p>
    <w:p w14:paraId="2E2E5DAE" w14:textId="77777777" w:rsidR="00F95AA2" w:rsidRPr="00F95AA2" w:rsidRDefault="00F95AA2" w:rsidP="00DD5F44">
      <w:pPr>
        <w:pStyle w:val="ListParagraph"/>
        <w:numPr>
          <w:ilvl w:val="0"/>
          <w:numId w:val="10"/>
        </w:numPr>
      </w:pPr>
      <w:r w:rsidRPr="00F95AA2">
        <w:t xml:space="preserve">Dispatcher roles, professional identity, and job-security concerns </w:t>
      </w:r>
    </w:p>
    <w:p w14:paraId="43CC9648" w14:textId="77777777" w:rsidR="00F95AA2" w:rsidRPr="00F95AA2" w:rsidRDefault="00F95AA2" w:rsidP="00DD5F44">
      <w:pPr>
        <w:pStyle w:val="ListParagraph"/>
        <w:numPr>
          <w:ilvl w:val="0"/>
          <w:numId w:val="10"/>
        </w:numPr>
      </w:pPr>
      <w:r w:rsidRPr="00F95AA2">
        <w:t xml:space="preserve">Structured reasons for overriding recommendations </w:t>
      </w:r>
    </w:p>
    <w:p w14:paraId="1AAE193B" w14:textId="77777777" w:rsidR="00F95AA2" w:rsidRPr="00F95AA2" w:rsidRDefault="00F95AA2" w:rsidP="00DD5F44">
      <w:pPr>
        <w:pStyle w:val="ListParagraph"/>
        <w:numPr>
          <w:ilvl w:val="0"/>
          <w:numId w:val="10"/>
        </w:numPr>
      </w:pPr>
      <w:r w:rsidRPr="00F95AA2">
        <w:t xml:space="preserve">The need to distinguish legitimate human intervention from habitual nonuse </w:t>
      </w:r>
    </w:p>
    <w:p w14:paraId="240AB471" w14:textId="77777777" w:rsidR="00F95AA2" w:rsidRPr="00F95AA2" w:rsidRDefault="00F95AA2" w:rsidP="00DD5F44">
      <w:pPr>
        <w:pStyle w:val="ListParagraph"/>
        <w:numPr>
          <w:ilvl w:val="0"/>
          <w:numId w:val="10"/>
        </w:numPr>
      </w:pPr>
      <w:r w:rsidRPr="00F95AA2">
        <w:t xml:space="preserve">Alternative research, product, and implementation initiatives </w:t>
      </w:r>
    </w:p>
    <w:p w14:paraId="49B91BE1" w14:textId="77777777" w:rsidR="00F95AA2" w:rsidRPr="00F95AA2" w:rsidRDefault="00F95AA2" w:rsidP="00DD5F44">
      <w:r w:rsidRPr="00F95AA2">
        <w:t>All company and individual names, events, and numerical exhibits are fictional. The case deliberately leaves open whether the principal problem lies in the software, customer data, implementation practices, incentives, organizational design, user trust, or the definition of “successful use.”</w:t>
      </w:r>
    </w:p>
    <w:p w14:paraId="5C3A046A" w14:textId="77777777" w:rsidR="00F95AA2" w:rsidRPr="00F95AA2" w:rsidRDefault="00F95AA2" w:rsidP="00DD5F44"/>
    <w:sectPr w:rsidR="00F95AA2" w:rsidRPr="00F95AA2" w:rsidSect="00034616">
      <w:headerReference w:type="default" r:id="rId12"/>
      <w:footerReference w:type="default" r:id="rId13"/>
      <w:pgSz w:w="12240" w:h="15840"/>
      <w:pgMar w:top="893" w:right="1037" w:bottom="835" w:left="10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77CD" w14:textId="77777777" w:rsidR="00923661" w:rsidRDefault="00923661" w:rsidP="00DD5F44">
      <w:r>
        <w:separator/>
      </w:r>
    </w:p>
  </w:endnote>
  <w:endnote w:type="continuationSeparator" w:id="0">
    <w:p w14:paraId="192E4688" w14:textId="77777777" w:rsidR="00923661" w:rsidRDefault="00923661" w:rsidP="00DD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FF7F7" w14:textId="77777777" w:rsidR="00206C2E" w:rsidRDefault="00000000" w:rsidP="00DD5F44">
    <w:pPr>
      <w:pStyle w:val="Footer"/>
    </w:pPr>
    <w:r>
      <w:t xml:space="preserve">Teaching </w:t>
    </w:r>
    <w:proofErr w:type="gramStart"/>
    <w:r>
      <w:t>case  |</w:t>
    </w:r>
    <w:proofErr w:type="gramEnd"/>
    <w:r>
      <w:t xml:space="preserve">  Fictionalized from industry </w:t>
    </w:r>
    <w:proofErr w:type="gramStart"/>
    <w:r>
      <w:t>patterns  |</w:t>
    </w:r>
    <w:proofErr w:type="gramEnd"/>
    <w:r>
      <w:t xml:space="preserve">  </w:t>
    </w:r>
    <w:r>
      <w:fldChar w:fldCharType="begin"/>
    </w:r>
    <w:r>
      <w:instrText>PAGE</w:instrText>
    </w:r>
    <w:r>
      <w:fldChar w:fldCharType="separate"/>
    </w:r>
    <w:r w:rsidR="00F95AA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B9A24" w14:textId="77777777" w:rsidR="00923661" w:rsidRDefault="00923661" w:rsidP="00DD5F44">
      <w:r>
        <w:separator/>
      </w:r>
    </w:p>
  </w:footnote>
  <w:footnote w:type="continuationSeparator" w:id="0">
    <w:p w14:paraId="54B92110" w14:textId="77777777" w:rsidR="00923661" w:rsidRDefault="00923661" w:rsidP="00DD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1C66F" w14:textId="77777777" w:rsidR="00206C2E" w:rsidRPr="00EE4F1C" w:rsidRDefault="00000000" w:rsidP="00EE4F1C">
    <w:pPr>
      <w:jc w:val="right"/>
      <w:rPr>
        <w:color w:val="A6A6A6" w:themeColor="background1" w:themeShade="A6"/>
        <w:sz w:val="15"/>
        <w:szCs w:val="15"/>
      </w:rPr>
    </w:pPr>
    <w:r w:rsidRPr="00EE4F1C">
      <w:rPr>
        <w:color w:val="A6A6A6" w:themeColor="background1" w:themeShade="A6"/>
        <w:sz w:val="15"/>
        <w:szCs w:val="15"/>
      </w:rPr>
      <w:t>DISPATCH DYNAMICS: THE RECOMMENDATION GAP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24A4248"/>
    <w:multiLevelType w:val="hybridMultilevel"/>
    <w:tmpl w:val="0366C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B85CA9"/>
    <w:multiLevelType w:val="hybridMultilevel"/>
    <w:tmpl w:val="F20EA0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B76F84"/>
    <w:multiLevelType w:val="hybridMultilevel"/>
    <w:tmpl w:val="010CA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00440F"/>
    <w:multiLevelType w:val="multilevel"/>
    <w:tmpl w:val="7932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5533069">
    <w:abstractNumId w:val="8"/>
  </w:num>
  <w:num w:numId="2" w16cid:durableId="852842088">
    <w:abstractNumId w:val="6"/>
  </w:num>
  <w:num w:numId="3" w16cid:durableId="1075199867">
    <w:abstractNumId w:val="5"/>
  </w:num>
  <w:num w:numId="4" w16cid:durableId="1867401796">
    <w:abstractNumId w:val="4"/>
  </w:num>
  <w:num w:numId="5" w16cid:durableId="228082452">
    <w:abstractNumId w:val="7"/>
  </w:num>
  <w:num w:numId="6" w16cid:durableId="193539336">
    <w:abstractNumId w:val="3"/>
  </w:num>
  <w:num w:numId="7" w16cid:durableId="1813209100">
    <w:abstractNumId w:val="2"/>
  </w:num>
  <w:num w:numId="8" w16cid:durableId="1777947853">
    <w:abstractNumId w:val="1"/>
  </w:num>
  <w:num w:numId="9" w16cid:durableId="417210251">
    <w:abstractNumId w:val="0"/>
  </w:num>
  <w:num w:numId="10" w16cid:durableId="62915516">
    <w:abstractNumId w:val="12"/>
  </w:num>
  <w:num w:numId="11" w16cid:durableId="1268582022">
    <w:abstractNumId w:val="11"/>
  </w:num>
  <w:num w:numId="12" w16cid:durableId="1427728824">
    <w:abstractNumId w:val="9"/>
  </w:num>
  <w:num w:numId="13" w16cid:durableId="14094202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51A9"/>
    <w:rsid w:val="0015074B"/>
    <w:rsid w:val="00206C2E"/>
    <w:rsid w:val="0029639D"/>
    <w:rsid w:val="00326F90"/>
    <w:rsid w:val="008852B7"/>
    <w:rsid w:val="00890853"/>
    <w:rsid w:val="008F0677"/>
    <w:rsid w:val="00923661"/>
    <w:rsid w:val="00AA181E"/>
    <w:rsid w:val="00AA1D8D"/>
    <w:rsid w:val="00B47730"/>
    <w:rsid w:val="00CA10FB"/>
    <w:rsid w:val="00CB0664"/>
    <w:rsid w:val="00DD5F44"/>
    <w:rsid w:val="00EE4F1C"/>
    <w:rsid w:val="00F95AA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4DB06"/>
  <w14:defaultImageDpi w14:val="300"/>
  <w15:docId w15:val="{77E058F0-7536-495E-9E29-E8761B0C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F44"/>
    <w:pPr>
      <w:spacing w:after="90" w:line="245" w:lineRule="auto"/>
    </w:pPr>
    <w:rPr>
      <w:rFonts w:ascii="Aptos" w:hAnsi="Aptos"/>
    </w:rPr>
  </w:style>
  <w:style w:type="paragraph" w:styleId="Heading1">
    <w:name w:val="heading 1"/>
    <w:basedOn w:val="Normal"/>
    <w:next w:val="Normal"/>
    <w:link w:val="Heading1Char"/>
    <w:uiPriority w:val="9"/>
    <w:qFormat/>
    <w:rsid w:val="00FC693F"/>
    <w:pPr>
      <w:keepNext/>
      <w:keepLines/>
      <w:spacing w:before="140" w:after="60"/>
      <w:outlineLvl w:val="0"/>
    </w:pPr>
    <w:rPr>
      <w:rFonts w:asciiTheme="majorHAnsi" w:eastAsiaTheme="majorEastAsia" w:hAnsiTheme="majorHAnsi" w:cstheme="majorBidi"/>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before="140" w:after="60" w:line="240" w:lineRule="auto"/>
      <w:contextualSpacing/>
    </w:pPr>
    <w:rPr>
      <w:rFonts w:asciiTheme="majorHAnsi" w:eastAsiaTheme="majorEastAsia" w:hAnsiTheme="majorHAnsi" w:cstheme="majorBidi"/>
      <w:b/>
      <w:color w:val="17365D"/>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xhibitTitle">
    <w:name w:val="Exhibit Title"/>
    <w:pPr>
      <w:keepNext/>
      <w:spacing w:before="140" w:after="60"/>
    </w:pPr>
    <w:rPr>
      <w:rFonts w:ascii="Aptos" w:hAnsi="Aptos"/>
      <w:b/>
      <w:color w:val="17365D"/>
      <w:sz w:val="20"/>
    </w:rPr>
  </w:style>
  <w:style w:type="character" w:styleId="Hyperlink">
    <w:name w:val="Hyperlink"/>
    <w:basedOn w:val="DefaultParagraphFont"/>
    <w:uiPriority w:val="99"/>
    <w:unhideWhenUsed/>
    <w:rsid w:val="000F51A9"/>
    <w:rPr>
      <w:color w:val="0000FF" w:themeColor="hyperlink"/>
      <w:u w:val="single"/>
    </w:rPr>
  </w:style>
  <w:style w:type="paragraph" w:customStyle="1" w:styleId="CaseTitle">
    <w:name w:val="Case Title"/>
    <w:basedOn w:val="Normal"/>
    <w:rsid w:val="00890853"/>
    <w:pPr>
      <w:spacing w:after="80" w:line="247" w:lineRule="auto"/>
    </w:pPr>
    <w:rPr>
      <w:rFonts w:ascii="Aptos Display" w:eastAsia="Aptos Display" w:hAnsi="Aptos Display"/>
      <w:b/>
      <w:color w:val="284B63"/>
      <w:sz w:val="48"/>
    </w:rPr>
  </w:style>
  <w:style w:type="paragraph" w:customStyle="1" w:styleId="CaseSubtitle">
    <w:name w:val="Case Subtitle"/>
    <w:basedOn w:val="Normal"/>
    <w:rsid w:val="00890853"/>
    <w:pPr>
      <w:spacing w:after="80" w:line="247" w:lineRule="auto"/>
    </w:pPr>
    <w:rPr>
      <w:rFonts w:ascii="Aptos Display" w:eastAsia="Aptos Display" w:hAnsi="Aptos Display"/>
      <w:b/>
      <w:color w:val="3C6E71"/>
      <w:sz w:val="36"/>
    </w:rPr>
  </w:style>
  <w:style w:type="paragraph" w:customStyle="1" w:styleId="CaseDeck">
    <w:name w:val="Case Deck"/>
    <w:basedOn w:val="Normal"/>
    <w:rsid w:val="00890853"/>
    <w:pPr>
      <w:spacing w:after="80" w:line="247" w:lineRule="auto"/>
    </w:pPr>
    <w:rPr>
      <w:rFonts w:eastAsia="Aptos"/>
      <w:i/>
      <w:sz w:val="21"/>
    </w:rPr>
  </w:style>
  <w:style w:type="paragraph" w:customStyle="1" w:styleId="CaseSpacer">
    <w:name w:val="Case Spacer"/>
    <w:basedOn w:val="Normal"/>
    <w:rsid w:val="00890853"/>
    <w:pPr>
      <w:spacing w:after="80" w:line="247" w:lineRule="auto"/>
    </w:pPr>
    <w:rPr>
      <w:rFonts w:eastAsia="Apto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rrenpowell.org/decisionsdecision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rrenpowell.org/modeling-uncertain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inyurl.com/FramingMatrix/" TargetMode="External"/><Relationship Id="rId4" Type="http://schemas.openxmlformats.org/officeDocument/2006/relationships/settings" Target="settings.xml"/><Relationship Id="rId9" Type="http://schemas.openxmlformats.org/officeDocument/2006/relationships/hyperlink" Target="https://warrenpowell.org/decisionsdecision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2594</Words>
  <Characters>14787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Dispatch Dynamics: The Recommendation Gap</dc:title>
  <dc:subject>Business teaching case on user acceptance of truckload dispatch recommendations</dc:subject>
  <dc:creator>OpenAI</dc:creator>
  <cp:keywords>dispatching, truckload, software adoption, decision automation, user acceptance, teaching case</cp:keywords>
  <dc:description>generated by python-docx</dc:description>
  <cp:lastModifiedBy>Warren Powell</cp:lastModifiedBy>
  <cp:revision>6</cp:revision>
  <dcterms:created xsi:type="dcterms:W3CDTF">2026-07-29T20:14:00Z</dcterms:created>
  <dcterms:modified xsi:type="dcterms:W3CDTF">2026-07-30T18:59:00Z</dcterms:modified>
  <cp:category/>
</cp:coreProperties>
</file>