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A06F1" w14:textId="0BD41415" w:rsidR="005226BF" w:rsidRDefault="005226BF" w:rsidP="005226BF">
      <w:pPr>
        <w:pStyle w:val="CaseTitle"/>
      </w:pPr>
      <w:r>
        <w:t>Crestline Biotherapies</w:t>
      </w:r>
    </w:p>
    <w:p w14:paraId="11F947DC" w14:textId="69A10ABA" w:rsidR="005226BF" w:rsidRDefault="005226BF" w:rsidP="005226BF">
      <w:pPr>
        <w:pStyle w:val="CaseSubtitle"/>
      </w:pPr>
      <w:r>
        <w:t>The Week 28 Decision</w:t>
      </w:r>
    </w:p>
    <w:p w14:paraId="51A3151D" w14:textId="77777777" w:rsidR="005226BF" w:rsidRPr="005226BF" w:rsidRDefault="005226BF" w:rsidP="005226BF">
      <w:pPr>
        <w:rPr>
          <w:i/>
          <w:iCs/>
          <w:color w:val="808080" w:themeColor="background1" w:themeShade="80"/>
        </w:rPr>
      </w:pPr>
      <w:r w:rsidRPr="005226BF">
        <w:rPr>
          <w:i/>
          <w:iCs/>
          <w:color w:val="808080" w:themeColor="background1" w:themeShade="80"/>
        </w:rPr>
        <w:t>A clinical-development case on deciding what to learn next when time, patients, capital, and patent life are all limited</w:t>
      </w:r>
    </w:p>
    <w:p w14:paraId="6332E1F7" w14:textId="77777777" w:rsidR="005226BF" w:rsidRDefault="005226BF" w:rsidP="005226BF">
      <w:pPr>
        <w:pStyle w:val="CaseSpacer"/>
      </w:pPr>
      <w:r>
        <w:br/>
      </w:r>
    </w:p>
    <w:p w14:paraId="35965F48" w14:textId="59232588" w:rsidR="005226BF" w:rsidRDefault="005226BF" w:rsidP="00806CF1">
      <w:pPr>
        <w:pStyle w:val="CaseSpacer"/>
      </w:pPr>
      <w:r>
        <w:br/>
        <w:t>This case is fictional and intended for instructional discussion. Names, events, products, and company data are invented; public statistics are cited in the source note.</w:t>
      </w:r>
    </w:p>
    <w:p w14:paraId="71DAFADF" w14:textId="3463B772" w:rsidR="00A64CB1" w:rsidRDefault="00A64CB1" w:rsidP="00D84342"/>
    <w:tbl>
      <w:tblPr>
        <w:tblStyle w:val="TableGrid"/>
        <w:tblW w:w="0" w:type="auto"/>
        <w:jc w:val="center"/>
        <w:tblLook w:val="04A0" w:firstRow="1" w:lastRow="0" w:firstColumn="1" w:lastColumn="0" w:noHBand="0" w:noVBand="1"/>
      </w:tblPr>
      <w:tblGrid>
        <w:gridCol w:w="10272"/>
      </w:tblGrid>
      <w:tr w:rsidR="00A64CB1" w14:paraId="711E1DB6" w14:textId="77777777">
        <w:trPr>
          <w:jc w:val="center"/>
        </w:trPr>
        <w:tc>
          <w:tcPr>
            <w:tcW w:w="10282" w:type="dxa"/>
            <w:shd w:val="clear" w:color="auto" w:fill="EEF3F6"/>
            <w:vAlign w:val="center"/>
          </w:tcPr>
          <w:p w14:paraId="78D727C8" w14:textId="77777777" w:rsidR="00A64CB1" w:rsidRDefault="00000000" w:rsidP="00D84342">
            <w:r>
              <w:t>In October 2026, Crestline must decide whether to expand, redesign, pause, or terminate a Phase II trial for an experimental treatment for inflammatory lung disease. Early results suggest meaningful improvement for some patients, little benefit for others, and a safety signal that may or may not be related to treatment. Enrollment is six months behind schedule, a competitor has announced a pivotal trial, and Crestline has enough cash to pursue only one major development program.</w:t>
            </w:r>
          </w:p>
        </w:tc>
      </w:tr>
    </w:tbl>
    <w:p w14:paraId="2B66CB46" w14:textId="77777777" w:rsidR="00A64CB1" w:rsidRDefault="00000000" w:rsidP="00D84342">
      <w:r>
        <w:br/>
      </w:r>
    </w:p>
    <w:p w14:paraId="21911586" w14:textId="77777777" w:rsidR="00A64CB1" w:rsidRDefault="00000000" w:rsidP="00D84342">
      <w:r>
        <w:t>This case is fictional and intended for instructional discussion. Names, events, clinical results, and internal financial figures were created for the case. Public statistics are summarized in the source note.</w:t>
      </w:r>
    </w:p>
    <w:p w14:paraId="55F36808" w14:textId="77777777" w:rsidR="00A64CB1" w:rsidRDefault="00000000" w:rsidP="00D84342">
      <w:r>
        <w:br w:type="page"/>
      </w:r>
    </w:p>
    <w:p w14:paraId="75EAD724" w14:textId="77777777" w:rsidR="00A64CB1" w:rsidRDefault="00000000" w:rsidP="00D84342">
      <w:pPr>
        <w:pStyle w:val="Heading1"/>
      </w:pPr>
      <w:r>
        <w:lastRenderedPageBreak/>
        <w:t>The Interim Review</w:t>
      </w:r>
    </w:p>
    <w:p w14:paraId="4D4C70EB" w14:textId="77777777" w:rsidR="00A64CB1" w:rsidRDefault="00000000" w:rsidP="00D84342">
      <w:r>
        <w:t xml:space="preserve">At 7:30 on Monday morning, Dr. Elena Marquez, chief medical officer of Crestline Biotherapeutics, opened the confidential report from the independent data-monitoring committee. The company’s lead compound, CLN-47, was </w:t>
      </w:r>
      <w:proofErr w:type="gramStart"/>
      <w:r>
        <w:t>being tested</w:t>
      </w:r>
      <w:proofErr w:type="gramEnd"/>
      <w:r>
        <w:t xml:space="preserve"> in adults with progressive inflammatory lung disease whose symptoms remained poorly controlled under standard therapy. The trial had reached 164 randomized patients, well short of the planned 240, but the board had authorized an interim review after enrollment slowed and several adverse events were reported.</w:t>
      </w:r>
    </w:p>
    <w:p w14:paraId="0894D67E" w14:textId="77777777" w:rsidR="00A64CB1" w:rsidRPr="00D84342" w:rsidRDefault="00000000" w:rsidP="00D84342">
      <w:r w:rsidRPr="00D84342">
        <w:t>The report did not provide the simple answer Marquez had hoped for. Patients receiving the higher dose showed a greater average improvement in lung function than those receiving placebo, but the difference narrowly missed the statistical threshold written into the protocol. A subgroup identified through a blood biomarker appeared to respond strongly. The subgroup had not been designated as the primary population when the trial began, and the laboratory assay used to identify it had produced inconsistent results at two trial sites.</w:t>
      </w:r>
    </w:p>
    <w:p w14:paraId="50F5618F" w14:textId="77777777" w:rsidR="00A64CB1" w:rsidRDefault="00000000" w:rsidP="00D84342">
      <w:r>
        <w:t>Five patients receiving CLN-47 had experienced serious liver-enzyme elevations, compared with one patient receiving placebo. All recovered after treatment was interrupted. Investigators disagreed about whether the events reflected the drug, other medications, or the underlying disease. The committee did not recommend stopping the trial, but asked Crestline to strengthen monitoring and clarify the conditions under which dosing would be suspended.</w:t>
      </w:r>
    </w:p>
    <w:p w14:paraId="70AC9738" w14:textId="77777777" w:rsidR="00A64CB1" w:rsidRDefault="00000000" w:rsidP="00D84342">
      <w:pPr>
        <w:pStyle w:val="Heading1"/>
      </w:pPr>
      <w:r>
        <w:t>A High-Cost Path with a Low Probability of Arrival</w:t>
      </w:r>
    </w:p>
    <w:p w14:paraId="28322B3E" w14:textId="77777777" w:rsidR="00A64CB1" w:rsidRDefault="00000000" w:rsidP="00D84342">
      <w:r>
        <w:t>Clinical development required companies to commit substantial capital before knowing whether a treatment would be safe, effective, approvable, manufacturable, or commercially accepted. Phase III trials commonly enroll hundreds or thousands of participants and provide much of the evidence used in regulatory review. Industry estimates often place the full cost of developing an approved medicine, including unsuccessful programs, in the billions of dollars and the elapsed time at 10 to 15 years.</w:t>
      </w:r>
    </w:p>
    <w:p w14:paraId="27B1B295" w14:textId="77777777" w:rsidR="00A64CB1" w:rsidRDefault="00000000" w:rsidP="00D84342">
      <w:r>
        <w:t>Failure was common. Published estimates vary by disease area and methodology, but only a minority of compounds entering human testing ultimately receive approval. Recruitment itself could become a major source of delay: research reviews have reported that many trials miss their original enrollment targets or schedules, while an analysis of registered trials found a median delay of about twelve months among completed studies and discontinuation in more than one-fifth of the sample.</w:t>
      </w:r>
    </w:p>
    <w:p w14:paraId="671CB56D" w14:textId="77777777" w:rsidR="00A64CB1" w:rsidRDefault="00000000" w:rsidP="00D84342">
      <w:r>
        <w:t>For Crestline, delay had another cost. CLN-47’s core patent had been filed seven years earlier. Every additional year spent in development reduced the period in which the company might sell the treatment without direct generic competition. Yet moving too quickly could produce an underpowered study, expose patients to an unsafe dose, or lead regulators to reject the evidence.</w:t>
      </w:r>
    </w:p>
    <w:p w14:paraId="2CE79BA2" w14:textId="77777777" w:rsidR="00D84342" w:rsidRDefault="00D84342">
      <w:pPr>
        <w:spacing w:after="200" w:line="276" w:lineRule="auto"/>
        <w:rPr>
          <w:rFonts w:asciiTheme="majorHAnsi" w:eastAsiaTheme="majorEastAsia" w:hAnsiTheme="majorHAnsi" w:cstheme="majorBidi"/>
          <w:b/>
          <w:bCs/>
          <w:color w:val="3C6E71"/>
          <w:sz w:val="23"/>
          <w:szCs w:val="26"/>
        </w:rPr>
      </w:pPr>
      <w:r>
        <w:br w:type="page"/>
      </w:r>
    </w:p>
    <w:p w14:paraId="5368F262" w14:textId="411710AD" w:rsidR="00A64CB1" w:rsidRDefault="00000000" w:rsidP="00D84342">
      <w:pPr>
        <w:pStyle w:val="Heading2"/>
      </w:pPr>
      <w:r>
        <w:lastRenderedPageBreak/>
        <w:t>Exhibit 1. CLN-47 Phase II Trial Status</w:t>
      </w:r>
    </w:p>
    <w:tbl>
      <w:tblPr>
        <w:tblStyle w:val="TableGrid"/>
        <w:tblW w:w="0" w:type="auto"/>
        <w:jc w:val="center"/>
        <w:tblLook w:val="04A0" w:firstRow="1" w:lastRow="0" w:firstColumn="1" w:lastColumn="0" w:noHBand="0" w:noVBand="1"/>
      </w:tblPr>
      <w:tblGrid>
        <w:gridCol w:w="2161"/>
        <w:gridCol w:w="2283"/>
        <w:gridCol w:w="2675"/>
        <w:gridCol w:w="3153"/>
      </w:tblGrid>
      <w:tr w:rsidR="00A64CB1" w14:paraId="4ADE0226" w14:textId="77777777">
        <w:trPr>
          <w:jc w:val="center"/>
        </w:trPr>
        <w:tc>
          <w:tcPr>
            <w:tcW w:w="2232" w:type="dxa"/>
            <w:shd w:val="clear" w:color="auto" w:fill="284B63"/>
            <w:vAlign w:val="center"/>
          </w:tcPr>
          <w:p w14:paraId="7C2786FE" w14:textId="77777777" w:rsidR="00A64CB1" w:rsidRDefault="00000000" w:rsidP="00D84342">
            <w:r>
              <w:t>Measure</w:t>
            </w:r>
          </w:p>
        </w:tc>
        <w:tc>
          <w:tcPr>
            <w:tcW w:w="2376" w:type="dxa"/>
            <w:shd w:val="clear" w:color="auto" w:fill="284B63"/>
            <w:vAlign w:val="center"/>
          </w:tcPr>
          <w:p w14:paraId="1372C5F9" w14:textId="77777777" w:rsidR="00A64CB1" w:rsidRDefault="00000000" w:rsidP="00D84342">
            <w:r>
              <w:t>Protocol plan</w:t>
            </w:r>
          </w:p>
        </w:tc>
        <w:tc>
          <w:tcPr>
            <w:tcW w:w="2808" w:type="dxa"/>
            <w:shd w:val="clear" w:color="auto" w:fill="284B63"/>
            <w:vAlign w:val="center"/>
          </w:tcPr>
          <w:p w14:paraId="35219323" w14:textId="77777777" w:rsidR="00A64CB1" w:rsidRDefault="00000000" w:rsidP="00D84342">
            <w:r>
              <w:t>Status at week 28</w:t>
            </w:r>
          </w:p>
        </w:tc>
        <w:tc>
          <w:tcPr>
            <w:tcW w:w="3312" w:type="dxa"/>
            <w:shd w:val="clear" w:color="auto" w:fill="284B63"/>
            <w:vAlign w:val="center"/>
          </w:tcPr>
          <w:p w14:paraId="64166999" w14:textId="77777777" w:rsidR="00A64CB1" w:rsidRDefault="00000000" w:rsidP="00D84342">
            <w:r>
              <w:t>Management concern</w:t>
            </w:r>
          </w:p>
        </w:tc>
      </w:tr>
      <w:tr w:rsidR="00A64CB1" w14:paraId="47AEEFDB" w14:textId="77777777">
        <w:trPr>
          <w:jc w:val="center"/>
        </w:trPr>
        <w:tc>
          <w:tcPr>
            <w:tcW w:w="2232" w:type="dxa"/>
            <w:vAlign w:val="center"/>
          </w:tcPr>
          <w:p w14:paraId="42055767" w14:textId="77777777" w:rsidR="00A64CB1" w:rsidRDefault="00000000" w:rsidP="00D84342">
            <w:r>
              <w:t>Randomized patients</w:t>
            </w:r>
          </w:p>
        </w:tc>
        <w:tc>
          <w:tcPr>
            <w:tcW w:w="2376" w:type="dxa"/>
            <w:vAlign w:val="center"/>
          </w:tcPr>
          <w:p w14:paraId="61F6DDF6" w14:textId="77777777" w:rsidR="00A64CB1" w:rsidRDefault="00000000" w:rsidP="00D84342">
            <w:r>
              <w:t>240</w:t>
            </w:r>
          </w:p>
        </w:tc>
        <w:tc>
          <w:tcPr>
            <w:tcW w:w="2808" w:type="dxa"/>
            <w:vAlign w:val="center"/>
          </w:tcPr>
          <w:p w14:paraId="56AE1483" w14:textId="77777777" w:rsidR="00A64CB1" w:rsidRDefault="00000000" w:rsidP="00D84342">
            <w:r>
              <w:t>164</w:t>
            </w:r>
          </w:p>
        </w:tc>
        <w:tc>
          <w:tcPr>
            <w:tcW w:w="3312" w:type="dxa"/>
            <w:vAlign w:val="center"/>
          </w:tcPr>
          <w:p w14:paraId="6F55BFE0" w14:textId="77777777" w:rsidR="00A64CB1" w:rsidRDefault="00000000" w:rsidP="00D84342">
            <w:r>
              <w:t>Enrollment six months behind</w:t>
            </w:r>
          </w:p>
        </w:tc>
      </w:tr>
      <w:tr w:rsidR="00A64CB1" w14:paraId="355E9AEA" w14:textId="77777777">
        <w:trPr>
          <w:jc w:val="center"/>
        </w:trPr>
        <w:tc>
          <w:tcPr>
            <w:tcW w:w="2232" w:type="dxa"/>
            <w:shd w:val="clear" w:color="auto" w:fill="EEF3F6"/>
            <w:vAlign w:val="center"/>
          </w:tcPr>
          <w:p w14:paraId="1D348B96" w14:textId="77777777" w:rsidR="00A64CB1" w:rsidRDefault="00000000" w:rsidP="00D84342">
            <w:r>
              <w:t>Trial locations</w:t>
            </w:r>
          </w:p>
        </w:tc>
        <w:tc>
          <w:tcPr>
            <w:tcW w:w="2376" w:type="dxa"/>
            <w:shd w:val="clear" w:color="auto" w:fill="EEF3F6"/>
            <w:vAlign w:val="center"/>
          </w:tcPr>
          <w:p w14:paraId="03DBC9F8" w14:textId="77777777" w:rsidR="00A64CB1" w:rsidRDefault="00000000" w:rsidP="00D84342">
            <w:r>
              <w:t>32</w:t>
            </w:r>
          </w:p>
        </w:tc>
        <w:tc>
          <w:tcPr>
            <w:tcW w:w="2808" w:type="dxa"/>
            <w:shd w:val="clear" w:color="auto" w:fill="EEF3F6"/>
            <w:vAlign w:val="center"/>
          </w:tcPr>
          <w:p w14:paraId="21DFE5B8" w14:textId="77777777" w:rsidR="00A64CB1" w:rsidRDefault="00000000" w:rsidP="00D84342">
            <w:r>
              <w:t>29 open; 18 actively enrolling</w:t>
            </w:r>
          </w:p>
        </w:tc>
        <w:tc>
          <w:tcPr>
            <w:tcW w:w="3312" w:type="dxa"/>
            <w:shd w:val="clear" w:color="auto" w:fill="EEF3F6"/>
            <w:vAlign w:val="center"/>
          </w:tcPr>
          <w:p w14:paraId="257C8748" w14:textId="77777777" w:rsidR="00A64CB1" w:rsidRDefault="00000000" w:rsidP="00D84342">
            <w:r>
              <w:t>Large variation among sites</w:t>
            </w:r>
          </w:p>
        </w:tc>
      </w:tr>
      <w:tr w:rsidR="00A64CB1" w14:paraId="33CB3027" w14:textId="77777777">
        <w:trPr>
          <w:jc w:val="center"/>
        </w:trPr>
        <w:tc>
          <w:tcPr>
            <w:tcW w:w="2232" w:type="dxa"/>
            <w:vAlign w:val="center"/>
          </w:tcPr>
          <w:p w14:paraId="0969E0F9" w14:textId="77777777" w:rsidR="00A64CB1" w:rsidRDefault="00000000" w:rsidP="00D84342">
            <w:r>
              <w:t>Primary endpoint</w:t>
            </w:r>
          </w:p>
        </w:tc>
        <w:tc>
          <w:tcPr>
            <w:tcW w:w="2376" w:type="dxa"/>
            <w:vAlign w:val="center"/>
          </w:tcPr>
          <w:p w14:paraId="3DE85B64" w14:textId="77777777" w:rsidR="00A64CB1" w:rsidRDefault="00000000" w:rsidP="00D84342">
            <w:r>
              <w:t>Change in lung function at 24 weeks</w:t>
            </w:r>
          </w:p>
        </w:tc>
        <w:tc>
          <w:tcPr>
            <w:tcW w:w="2808" w:type="dxa"/>
            <w:vAlign w:val="center"/>
          </w:tcPr>
          <w:p w14:paraId="1606E83E" w14:textId="77777777" w:rsidR="00A64CB1" w:rsidRDefault="00000000" w:rsidP="00D84342">
            <w:r>
              <w:t>High dose +3.8%; placebo +1.9%</w:t>
            </w:r>
          </w:p>
        </w:tc>
        <w:tc>
          <w:tcPr>
            <w:tcW w:w="3312" w:type="dxa"/>
            <w:vAlign w:val="center"/>
          </w:tcPr>
          <w:p w14:paraId="22084EFE" w14:textId="77777777" w:rsidR="00A64CB1" w:rsidRDefault="00000000" w:rsidP="00D84342">
            <w:r>
              <w:t>Difference below prespecified threshold</w:t>
            </w:r>
          </w:p>
        </w:tc>
      </w:tr>
      <w:tr w:rsidR="00A64CB1" w14:paraId="473BF0C8" w14:textId="77777777">
        <w:trPr>
          <w:jc w:val="center"/>
        </w:trPr>
        <w:tc>
          <w:tcPr>
            <w:tcW w:w="2232" w:type="dxa"/>
            <w:shd w:val="clear" w:color="auto" w:fill="EEF3F6"/>
            <w:vAlign w:val="center"/>
          </w:tcPr>
          <w:p w14:paraId="150325C2" w14:textId="77777777" w:rsidR="00A64CB1" w:rsidRDefault="00000000" w:rsidP="00D84342">
            <w:r>
              <w:t>Biomarker-positive subgroup</w:t>
            </w:r>
          </w:p>
        </w:tc>
        <w:tc>
          <w:tcPr>
            <w:tcW w:w="2376" w:type="dxa"/>
            <w:shd w:val="clear" w:color="auto" w:fill="EEF3F6"/>
            <w:vAlign w:val="center"/>
          </w:tcPr>
          <w:p w14:paraId="34CC31EF" w14:textId="77777777" w:rsidR="00A64CB1" w:rsidRDefault="00000000" w:rsidP="00D84342">
            <w:r>
              <w:t>Exploratory only</w:t>
            </w:r>
          </w:p>
        </w:tc>
        <w:tc>
          <w:tcPr>
            <w:tcW w:w="2808" w:type="dxa"/>
            <w:shd w:val="clear" w:color="auto" w:fill="EEF3F6"/>
            <w:vAlign w:val="center"/>
          </w:tcPr>
          <w:p w14:paraId="18A468FB" w14:textId="77777777" w:rsidR="00A64CB1" w:rsidRDefault="00000000" w:rsidP="00D84342">
            <w:r>
              <w:t>High dose +6.4%; placebo +1.6%</w:t>
            </w:r>
          </w:p>
        </w:tc>
        <w:tc>
          <w:tcPr>
            <w:tcW w:w="3312" w:type="dxa"/>
            <w:shd w:val="clear" w:color="auto" w:fill="EEF3F6"/>
            <w:vAlign w:val="center"/>
          </w:tcPr>
          <w:p w14:paraId="765C1FC6" w14:textId="77777777" w:rsidR="00A64CB1" w:rsidRDefault="00000000" w:rsidP="00D84342">
            <w:r>
              <w:t>Promising but not prespecified</w:t>
            </w:r>
          </w:p>
        </w:tc>
      </w:tr>
      <w:tr w:rsidR="00A64CB1" w14:paraId="3DFBE6F1" w14:textId="77777777">
        <w:trPr>
          <w:jc w:val="center"/>
        </w:trPr>
        <w:tc>
          <w:tcPr>
            <w:tcW w:w="2232" w:type="dxa"/>
            <w:vAlign w:val="center"/>
          </w:tcPr>
          <w:p w14:paraId="6190FA40" w14:textId="77777777" w:rsidR="00A64CB1" w:rsidRDefault="00000000" w:rsidP="00D84342">
            <w:r>
              <w:t>Serious liver signals</w:t>
            </w:r>
          </w:p>
        </w:tc>
        <w:tc>
          <w:tcPr>
            <w:tcW w:w="2376" w:type="dxa"/>
            <w:vAlign w:val="center"/>
          </w:tcPr>
          <w:p w14:paraId="11DD620A" w14:textId="77777777" w:rsidR="00A64CB1" w:rsidRDefault="00000000" w:rsidP="00D84342">
            <w:r>
              <w:t>No expected imbalance</w:t>
            </w:r>
          </w:p>
        </w:tc>
        <w:tc>
          <w:tcPr>
            <w:tcW w:w="2808" w:type="dxa"/>
            <w:vAlign w:val="center"/>
          </w:tcPr>
          <w:p w14:paraId="7506C59D" w14:textId="77777777" w:rsidR="00A64CB1" w:rsidRDefault="00000000" w:rsidP="00D84342">
            <w:r>
              <w:t>5 treatment; 1 placebo</w:t>
            </w:r>
          </w:p>
        </w:tc>
        <w:tc>
          <w:tcPr>
            <w:tcW w:w="3312" w:type="dxa"/>
            <w:vAlign w:val="center"/>
          </w:tcPr>
          <w:p w14:paraId="1FD809C7" w14:textId="77777777" w:rsidR="00A64CB1" w:rsidRDefault="00000000" w:rsidP="00D84342">
            <w:r>
              <w:t>Causality uncertain</w:t>
            </w:r>
          </w:p>
        </w:tc>
      </w:tr>
      <w:tr w:rsidR="00A64CB1" w14:paraId="55779E47" w14:textId="77777777">
        <w:trPr>
          <w:jc w:val="center"/>
        </w:trPr>
        <w:tc>
          <w:tcPr>
            <w:tcW w:w="2232" w:type="dxa"/>
            <w:shd w:val="clear" w:color="auto" w:fill="EEF3F6"/>
            <w:vAlign w:val="center"/>
          </w:tcPr>
          <w:p w14:paraId="03D7889E" w14:textId="77777777" w:rsidR="00A64CB1" w:rsidRDefault="00000000" w:rsidP="00D84342">
            <w:r>
              <w:t>Participant withdrawals</w:t>
            </w:r>
          </w:p>
        </w:tc>
        <w:tc>
          <w:tcPr>
            <w:tcW w:w="2376" w:type="dxa"/>
            <w:shd w:val="clear" w:color="auto" w:fill="EEF3F6"/>
            <w:vAlign w:val="center"/>
          </w:tcPr>
          <w:p w14:paraId="7EA0B96F" w14:textId="77777777" w:rsidR="00A64CB1" w:rsidRDefault="00000000" w:rsidP="00D84342">
            <w:r>
              <w:t>Below 15%</w:t>
            </w:r>
          </w:p>
        </w:tc>
        <w:tc>
          <w:tcPr>
            <w:tcW w:w="2808" w:type="dxa"/>
            <w:shd w:val="clear" w:color="auto" w:fill="EEF3F6"/>
            <w:vAlign w:val="center"/>
          </w:tcPr>
          <w:p w14:paraId="76F6E5AF" w14:textId="77777777" w:rsidR="00A64CB1" w:rsidRDefault="00000000" w:rsidP="00D84342">
            <w:r>
              <w:t>18% high dose; 12% low dose; 10% placebo</w:t>
            </w:r>
          </w:p>
        </w:tc>
        <w:tc>
          <w:tcPr>
            <w:tcW w:w="3312" w:type="dxa"/>
            <w:shd w:val="clear" w:color="auto" w:fill="EEF3F6"/>
            <w:vAlign w:val="center"/>
          </w:tcPr>
          <w:p w14:paraId="78D66F45" w14:textId="77777777" w:rsidR="00A64CB1" w:rsidRDefault="00000000" w:rsidP="00D84342">
            <w:r>
              <w:t>Side effects and visit burden</w:t>
            </w:r>
          </w:p>
        </w:tc>
      </w:tr>
      <w:tr w:rsidR="00A64CB1" w14:paraId="64CC4938" w14:textId="77777777">
        <w:trPr>
          <w:jc w:val="center"/>
        </w:trPr>
        <w:tc>
          <w:tcPr>
            <w:tcW w:w="2232" w:type="dxa"/>
            <w:vAlign w:val="center"/>
          </w:tcPr>
          <w:p w14:paraId="68FFFF81" w14:textId="77777777" w:rsidR="00A64CB1" w:rsidRDefault="00000000" w:rsidP="00D84342">
            <w:r>
              <w:t>Current trial spending</w:t>
            </w:r>
          </w:p>
        </w:tc>
        <w:tc>
          <w:tcPr>
            <w:tcW w:w="2376" w:type="dxa"/>
            <w:vAlign w:val="center"/>
          </w:tcPr>
          <w:p w14:paraId="3FF9DF6A" w14:textId="77777777" w:rsidR="00A64CB1" w:rsidRDefault="00000000" w:rsidP="00D84342">
            <w:r>
              <w:t>$42 million total</w:t>
            </w:r>
          </w:p>
        </w:tc>
        <w:tc>
          <w:tcPr>
            <w:tcW w:w="2808" w:type="dxa"/>
            <w:vAlign w:val="center"/>
          </w:tcPr>
          <w:p w14:paraId="6FFCC065" w14:textId="77777777" w:rsidR="00A64CB1" w:rsidRDefault="00000000" w:rsidP="00D84342">
            <w:r>
              <w:t>$34.6 million committed</w:t>
            </w:r>
          </w:p>
        </w:tc>
        <w:tc>
          <w:tcPr>
            <w:tcW w:w="3312" w:type="dxa"/>
            <w:vAlign w:val="center"/>
          </w:tcPr>
          <w:p w14:paraId="4E6DC931" w14:textId="77777777" w:rsidR="00A64CB1" w:rsidRDefault="00000000" w:rsidP="00D84342">
            <w:r>
              <w:t>Additional monitoring required</w:t>
            </w:r>
          </w:p>
        </w:tc>
      </w:tr>
    </w:tbl>
    <w:p w14:paraId="0C21E32E" w14:textId="77777777" w:rsidR="00A64CB1" w:rsidRDefault="00A64CB1" w:rsidP="00D84342"/>
    <w:p w14:paraId="0B151C87" w14:textId="77777777" w:rsidR="00A64CB1" w:rsidRDefault="00000000" w:rsidP="00D84342">
      <w:pPr>
        <w:pStyle w:val="Heading1"/>
      </w:pPr>
      <w:r>
        <w:t>The Patients Crestline Could Find</w:t>
      </w:r>
    </w:p>
    <w:p w14:paraId="43F41F17" w14:textId="77777777" w:rsidR="00A64CB1" w:rsidRDefault="00000000" w:rsidP="00D84342">
      <w:r>
        <w:t>The disease affected an estimated 185,000 adults in the United States, but only a fraction met the study’s criteria. Candidates had to have documented progression, stable background therapy, adequate liver and kidney function, and no recent participation in another trial. Many were older, lived far from specialty centers, or depended on family members for transportation. The protocol required eleven in-person visits, repeated blood tests, imaging, and a six-minute walking assessment over thirty-two weeks.</w:t>
      </w:r>
    </w:p>
    <w:p w14:paraId="07598A1A" w14:textId="77777777" w:rsidR="00A64CB1" w:rsidRDefault="00000000" w:rsidP="00D84342">
      <w:r>
        <w:t>Crestline had initially selected leading academic hospitals because their physicians understood the disease and could manage complex patients. Those centers also had competing studies, long contracting processes, and limited coordinator capacity. Seven sites had enrolled fewer than two patients. Three community pulmonary practices enrolled quickly but generated more protocol deviations. A mobile research vendor proposed home blood draws and remote symptom monitoring, but regulators had not reviewed the revised operating plan and several investigators questioned whether decentralized assessments would be comparable with hospital measurements.</w:t>
      </w:r>
    </w:p>
    <w:p w14:paraId="1113CBA2" w14:textId="77777777" w:rsidR="00A64CB1" w:rsidRDefault="00000000" w:rsidP="00D84342">
      <w:pPr>
        <w:pStyle w:val="Heading2"/>
      </w:pPr>
      <w:r>
        <w:t>Exhibit 2. Enrollment Performance by Site Type</w:t>
      </w:r>
    </w:p>
    <w:tbl>
      <w:tblPr>
        <w:tblStyle w:val="TableGrid"/>
        <w:tblW w:w="0" w:type="auto"/>
        <w:jc w:val="center"/>
        <w:tblLook w:val="04A0" w:firstRow="1" w:lastRow="0" w:firstColumn="1" w:lastColumn="0" w:noHBand="0" w:noVBand="1"/>
      </w:tblPr>
      <w:tblGrid>
        <w:gridCol w:w="2089"/>
        <w:gridCol w:w="1060"/>
        <w:gridCol w:w="1588"/>
        <w:gridCol w:w="1372"/>
        <w:gridCol w:w="1619"/>
        <w:gridCol w:w="2544"/>
      </w:tblGrid>
      <w:tr w:rsidR="00A64CB1" w14:paraId="7F3148D1" w14:textId="77777777">
        <w:trPr>
          <w:jc w:val="center"/>
        </w:trPr>
        <w:tc>
          <w:tcPr>
            <w:tcW w:w="2304" w:type="dxa"/>
            <w:shd w:val="clear" w:color="auto" w:fill="284B63"/>
            <w:vAlign w:val="center"/>
          </w:tcPr>
          <w:p w14:paraId="3F77C491" w14:textId="77777777" w:rsidR="00A64CB1" w:rsidRDefault="00000000" w:rsidP="00D84342">
            <w:r>
              <w:t>Site type</w:t>
            </w:r>
          </w:p>
        </w:tc>
        <w:tc>
          <w:tcPr>
            <w:tcW w:w="1152" w:type="dxa"/>
            <w:shd w:val="clear" w:color="auto" w:fill="284B63"/>
            <w:vAlign w:val="center"/>
          </w:tcPr>
          <w:p w14:paraId="70BCC9C9" w14:textId="77777777" w:rsidR="00A64CB1" w:rsidRDefault="00000000" w:rsidP="00D84342">
            <w:r>
              <w:t>Open sites</w:t>
            </w:r>
          </w:p>
        </w:tc>
        <w:tc>
          <w:tcPr>
            <w:tcW w:w="1656" w:type="dxa"/>
            <w:shd w:val="clear" w:color="auto" w:fill="284B63"/>
            <w:vAlign w:val="center"/>
          </w:tcPr>
          <w:p w14:paraId="15961F6E" w14:textId="77777777" w:rsidR="00A64CB1" w:rsidRDefault="00000000" w:rsidP="00D84342">
            <w:r>
              <w:t>Patients randomized</w:t>
            </w:r>
          </w:p>
        </w:tc>
        <w:tc>
          <w:tcPr>
            <w:tcW w:w="1512" w:type="dxa"/>
            <w:shd w:val="clear" w:color="auto" w:fill="284B63"/>
            <w:vAlign w:val="center"/>
          </w:tcPr>
          <w:p w14:paraId="3B4078BB" w14:textId="77777777" w:rsidR="00A64CB1" w:rsidRDefault="00000000" w:rsidP="00D84342">
            <w:r>
              <w:t>Screen failure</w:t>
            </w:r>
          </w:p>
        </w:tc>
        <w:tc>
          <w:tcPr>
            <w:tcW w:w="1800" w:type="dxa"/>
            <w:shd w:val="clear" w:color="auto" w:fill="284B63"/>
            <w:vAlign w:val="center"/>
          </w:tcPr>
          <w:p w14:paraId="3364797F" w14:textId="77777777" w:rsidR="00A64CB1" w:rsidRDefault="00000000" w:rsidP="00D84342">
            <w:r>
              <w:t>Monthly cost per site</w:t>
            </w:r>
          </w:p>
        </w:tc>
        <w:tc>
          <w:tcPr>
            <w:tcW w:w="2880" w:type="dxa"/>
            <w:shd w:val="clear" w:color="auto" w:fill="284B63"/>
            <w:vAlign w:val="center"/>
          </w:tcPr>
          <w:p w14:paraId="3095D5A1" w14:textId="77777777" w:rsidR="00A64CB1" w:rsidRDefault="00000000" w:rsidP="00D84342">
            <w:r>
              <w:t>Observed issue</w:t>
            </w:r>
          </w:p>
        </w:tc>
      </w:tr>
      <w:tr w:rsidR="00A64CB1" w14:paraId="7E720245" w14:textId="77777777">
        <w:trPr>
          <w:jc w:val="center"/>
        </w:trPr>
        <w:tc>
          <w:tcPr>
            <w:tcW w:w="2304" w:type="dxa"/>
            <w:vAlign w:val="center"/>
          </w:tcPr>
          <w:p w14:paraId="20C37722" w14:textId="77777777" w:rsidR="00A64CB1" w:rsidRDefault="00000000" w:rsidP="00D84342">
            <w:r>
              <w:t>Academic medical centers</w:t>
            </w:r>
          </w:p>
        </w:tc>
        <w:tc>
          <w:tcPr>
            <w:tcW w:w="1152" w:type="dxa"/>
            <w:vAlign w:val="center"/>
          </w:tcPr>
          <w:p w14:paraId="05BE1AE9" w14:textId="77777777" w:rsidR="00A64CB1" w:rsidRDefault="00000000" w:rsidP="00D84342">
            <w:r>
              <w:t>16</w:t>
            </w:r>
          </w:p>
        </w:tc>
        <w:tc>
          <w:tcPr>
            <w:tcW w:w="1656" w:type="dxa"/>
            <w:vAlign w:val="center"/>
          </w:tcPr>
          <w:p w14:paraId="691B2207" w14:textId="77777777" w:rsidR="00A64CB1" w:rsidRDefault="00000000" w:rsidP="00D84342">
            <w:r>
              <w:t>91</w:t>
            </w:r>
          </w:p>
        </w:tc>
        <w:tc>
          <w:tcPr>
            <w:tcW w:w="1512" w:type="dxa"/>
            <w:vAlign w:val="center"/>
          </w:tcPr>
          <w:p w14:paraId="50F54806" w14:textId="77777777" w:rsidR="00A64CB1" w:rsidRDefault="00000000" w:rsidP="00D84342">
            <w:r>
              <w:t>48%</w:t>
            </w:r>
          </w:p>
        </w:tc>
        <w:tc>
          <w:tcPr>
            <w:tcW w:w="1800" w:type="dxa"/>
            <w:vAlign w:val="center"/>
          </w:tcPr>
          <w:p w14:paraId="6CD8F414" w14:textId="77777777" w:rsidR="00A64CB1" w:rsidRDefault="00000000" w:rsidP="00D84342">
            <w:r>
              <w:t>$68,000</w:t>
            </w:r>
          </w:p>
        </w:tc>
        <w:tc>
          <w:tcPr>
            <w:tcW w:w="2880" w:type="dxa"/>
            <w:vAlign w:val="center"/>
          </w:tcPr>
          <w:p w14:paraId="5A18A4AA" w14:textId="77777777" w:rsidR="00A64CB1" w:rsidRDefault="00000000" w:rsidP="00D84342">
            <w:r>
              <w:t>Slow contracting; strong data quality</w:t>
            </w:r>
          </w:p>
        </w:tc>
      </w:tr>
      <w:tr w:rsidR="00A64CB1" w14:paraId="03070DB3" w14:textId="77777777">
        <w:trPr>
          <w:jc w:val="center"/>
        </w:trPr>
        <w:tc>
          <w:tcPr>
            <w:tcW w:w="2304" w:type="dxa"/>
            <w:shd w:val="clear" w:color="auto" w:fill="EEF3F6"/>
            <w:vAlign w:val="center"/>
          </w:tcPr>
          <w:p w14:paraId="76CDFC36" w14:textId="77777777" w:rsidR="00A64CB1" w:rsidRDefault="00000000" w:rsidP="00D84342">
            <w:r>
              <w:t>Regional hospitals</w:t>
            </w:r>
          </w:p>
        </w:tc>
        <w:tc>
          <w:tcPr>
            <w:tcW w:w="1152" w:type="dxa"/>
            <w:shd w:val="clear" w:color="auto" w:fill="EEF3F6"/>
            <w:vAlign w:val="center"/>
          </w:tcPr>
          <w:p w14:paraId="57519A3A" w14:textId="77777777" w:rsidR="00A64CB1" w:rsidRDefault="00000000" w:rsidP="00D84342">
            <w:r>
              <w:t>8</w:t>
            </w:r>
          </w:p>
        </w:tc>
        <w:tc>
          <w:tcPr>
            <w:tcW w:w="1656" w:type="dxa"/>
            <w:shd w:val="clear" w:color="auto" w:fill="EEF3F6"/>
            <w:vAlign w:val="center"/>
          </w:tcPr>
          <w:p w14:paraId="70969196" w14:textId="77777777" w:rsidR="00A64CB1" w:rsidRDefault="00000000" w:rsidP="00D84342">
            <w:r>
              <w:t>38</w:t>
            </w:r>
          </w:p>
        </w:tc>
        <w:tc>
          <w:tcPr>
            <w:tcW w:w="1512" w:type="dxa"/>
            <w:shd w:val="clear" w:color="auto" w:fill="EEF3F6"/>
            <w:vAlign w:val="center"/>
          </w:tcPr>
          <w:p w14:paraId="5B5C249F" w14:textId="77777777" w:rsidR="00A64CB1" w:rsidRDefault="00000000" w:rsidP="00D84342">
            <w:r>
              <w:t>42%</w:t>
            </w:r>
          </w:p>
        </w:tc>
        <w:tc>
          <w:tcPr>
            <w:tcW w:w="1800" w:type="dxa"/>
            <w:shd w:val="clear" w:color="auto" w:fill="EEF3F6"/>
            <w:vAlign w:val="center"/>
          </w:tcPr>
          <w:p w14:paraId="78F5CEC9" w14:textId="77777777" w:rsidR="00A64CB1" w:rsidRDefault="00000000" w:rsidP="00D84342">
            <w:r>
              <w:t>$47,000</w:t>
            </w:r>
          </w:p>
        </w:tc>
        <w:tc>
          <w:tcPr>
            <w:tcW w:w="2880" w:type="dxa"/>
            <w:shd w:val="clear" w:color="auto" w:fill="EEF3F6"/>
            <w:vAlign w:val="center"/>
          </w:tcPr>
          <w:p w14:paraId="090AEBDC" w14:textId="77777777" w:rsidR="00A64CB1" w:rsidRDefault="00000000" w:rsidP="00D84342">
            <w:r>
              <w:t>Variable investigator attention</w:t>
            </w:r>
          </w:p>
        </w:tc>
      </w:tr>
      <w:tr w:rsidR="00A64CB1" w14:paraId="284D80AC" w14:textId="77777777">
        <w:trPr>
          <w:jc w:val="center"/>
        </w:trPr>
        <w:tc>
          <w:tcPr>
            <w:tcW w:w="2304" w:type="dxa"/>
            <w:vAlign w:val="center"/>
          </w:tcPr>
          <w:p w14:paraId="40A53709" w14:textId="77777777" w:rsidR="00A64CB1" w:rsidRDefault="00000000" w:rsidP="00D84342">
            <w:r>
              <w:t>Community pulmonary practices</w:t>
            </w:r>
          </w:p>
        </w:tc>
        <w:tc>
          <w:tcPr>
            <w:tcW w:w="1152" w:type="dxa"/>
            <w:vAlign w:val="center"/>
          </w:tcPr>
          <w:p w14:paraId="1D3D3827" w14:textId="77777777" w:rsidR="00A64CB1" w:rsidRDefault="00000000" w:rsidP="00D84342">
            <w:r>
              <w:t>5</w:t>
            </w:r>
          </w:p>
        </w:tc>
        <w:tc>
          <w:tcPr>
            <w:tcW w:w="1656" w:type="dxa"/>
            <w:vAlign w:val="center"/>
          </w:tcPr>
          <w:p w14:paraId="509FFF84" w14:textId="77777777" w:rsidR="00A64CB1" w:rsidRDefault="00000000" w:rsidP="00D84342">
            <w:r>
              <w:t>29</w:t>
            </w:r>
          </w:p>
        </w:tc>
        <w:tc>
          <w:tcPr>
            <w:tcW w:w="1512" w:type="dxa"/>
            <w:vAlign w:val="center"/>
          </w:tcPr>
          <w:p w14:paraId="251A5282" w14:textId="77777777" w:rsidR="00A64CB1" w:rsidRDefault="00000000" w:rsidP="00D84342">
            <w:r>
              <w:t>31%</w:t>
            </w:r>
          </w:p>
        </w:tc>
        <w:tc>
          <w:tcPr>
            <w:tcW w:w="1800" w:type="dxa"/>
            <w:vAlign w:val="center"/>
          </w:tcPr>
          <w:p w14:paraId="7DDBF9BF" w14:textId="77777777" w:rsidR="00A64CB1" w:rsidRDefault="00000000" w:rsidP="00D84342">
            <w:r>
              <w:t>$34,000</w:t>
            </w:r>
          </w:p>
        </w:tc>
        <w:tc>
          <w:tcPr>
            <w:tcW w:w="2880" w:type="dxa"/>
            <w:vAlign w:val="center"/>
          </w:tcPr>
          <w:p w14:paraId="7B092140" w14:textId="77777777" w:rsidR="00A64CB1" w:rsidRDefault="00000000" w:rsidP="00D84342">
            <w:r>
              <w:t>Faster enrollment; more deviations</w:t>
            </w:r>
          </w:p>
        </w:tc>
      </w:tr>
      <w:tr w:rsidR="00A64CB1" w14:paraId="7A079360" w14:textId="77777777">
        <w:trPr>
          <w:jc w:val="center"/>
        </w:trPr>
        <w:tc>
          <w:tcPr>
            <w:tcW w:w="2304" w:type="dxa"/>
            <w:shd w:val="clear" w:color="auto" w:fill="EEF3F6"/>
            <w:vAlign w:val="center"/>
          </w:tcPr>
          <w:p w14:paraId="404E1A08" w14:textId="77777777" w:rsidR="00A64CB1" w:rsidRDefault="00000000" w:rsidP="00D84342">
            <w:r>
              <w:t>Dedicated research clinics</w:t>
            </w:r>
          </w:p>
        </w:tc>
        <w:tc>
          <w:tcPr>
            <w:tcW w:w="1152" w:type="dxa"/>
            <w:shd w:val="clear" w:color="auto" w:fill="EEF3F6"/>
            <w:vAlign w:val="center"/>
          </w:tcPr>
          <w:p w14:paraId="0F496CB1" w14:textId="77777777" w:rsidR="00A64CB1" w:rsidRDefault="00000000" w:rsidP="00D84342">
            <w:r>
              <w:t>3</w:t>
            </w:r>
          </w:p>
        </w:tc>
        <w:tc>
          <w:tcPr>
            <w:tcW w:w="1656" w:type="dxa"/>
            <w:shd w:val="clear" w:color="auto" w:fill="EEF3F6"/>
            <w:vAlign w:val="center"/>
          </w:tcPr>
          <w:p w14:paraId="0EDB763B" w14:textId="77777777" w:rsidR="00A64CB1" w:rsidRDefault="00000000" w:rsidP="00D84342">
            <w:r>
              <w:t>6</w:t>
            </w:r>
          </w:p>
        </w:tc>
        <w:tc>
          <w:tcPr>
            <w:tcW w:w="1512" w:type="dxa"/>
            <w:shd w:val="clear" w:color="auto" w:fill="EEF3F6"/>
            <w:vAlign w:val="center"/>
          </w:tcPr>
          <w:p w14:paraId="14536431" w14:textId="77777777" w:rsidR="00A64CB1" w:rsidRDefault="00000000" w:rsidP="00D84342">
            <w:r>
              <w:t>55%</w:t>
            </w:r>
          </w:p>
        </w:tc>
        <w:tc>
          <w:tcPr>
            <w:tcW w:w="1800" w:type="dxa"/>
            <w:shd w:val="clear" w:color="auto" w:fill="EEF3F6"/>
            <w:vAlign w:val="center"/>
          </w:tcPr>
          <w:p w14:paraId="5E376C76" w14:textId="77777777" w:rsidR="00A64CB1" w:rsidRDefault="00000000" w:rsidP="00D84342">
            <w:r>
              <w:t>$51,000</w:t>
            </w:r>
          </w:p>
        </w:tc>
        <w:tc>
          <w:tcPr>
            <w:tcW w:w="2880" w:type="dxa"/>
            <w:shd w:val="clear" w:color="auto" w:fill="EEF3F6"/>
            <w:vAlign w:val="center"/>
          </w:tcPr>
          <w:p w14:paraId="0F48E1B5" w14:textId="77777777" w:rsidR="00A64CB1" w:rsidRDefault="00000000" w:rsidP="00D84342">
            <w:r>
              <w:t>Weak referral network</w:t>
            </w:r>
          </w:p>
        </w:tc>
      </w:tr>
    </w:tbl>
    <w:p w14:paraId="0FADB3AD" w14:textId="77777777" w:rsidR="00A64CB1" w:rsidRDefault="00A64CB1" w:rsidP="00D84342"/>
    <w:p w14:paraId="15D2B99C" w14:textId="77777777" w:rsidR="00A64CB1" w:rsidRDefault="00000000" w:rsidP="00D84342">
      <w:r>
        <w:lastRenderedPageBreak/>
        <w:t>The commercial team proposed opening twelve dedicated clinics in metropolitan retail locations and advertising directly to patients through social media and disease-advocacy groups. The clinical team worried that aggressive recruitment could produce large numbers of ineligible candidates, raise expectations among seriously ill patients, and create the appearance that the company was marketing a drug before approval. Patient advocates argued that travel reimbursement, evening appointments, translated materials, and home visits would do more to broaden access than advertising alone.</w:t>
      </w:r>
    </w:p>
    <w:p w14:paraId="50274D45" w14:textId="77777777" w:rsidR="00A64CB1" w:rsidRDefault="00000000" w:rsidP="00D84342">
      <w:pPr>
        <w:pStyle w:val="Heading1"/>
      </w:pPr>
      <w:r>
        <w:t>What the Interim Results Meant</w:t>
      </w:r>
    </w:p>
    <w:p w14:paraId="0ECC215E" w14:textId="77777777" w:rsidR="00A64CB1" w:rsidRDefault="00000000" w:rsidP="00D84342">
      <w:r>
        <w:t>The trial statistician offered three interpretations. The first was that CLN-47 probably produced a modest benefit across the full population, but the trial had too few participants to distinguish it clearly from chance. The second was that the treatment worked primarily in biomarker-positive patients. The third was that the subgroup result was an artifact created by testing many possible patient characteristics after seeing the data.</w:t>
      </w:r>
    </w:p>
    <w:p w14:paraId="4828C9B2" w14:textId="77777777" w:rsidR="00A64CB1" w:rsidRDefault="00000000" w:rsidP="00D84342">
      <w:r>
        <w:t>Each interpretation suggested a different next step. Completing the original trial would preserve the protocol but require more patients and perhaps nine additional months. Expanding the biomarker-positive group could provide faster evidence of a larger effect, but would require changing the statistical analysis and validating the assay. Reducing the high dose might address safety concerns but weaken effectiveness. Crestline could also stop the study and conserve capital for a different compound whose Phase I results would arrive in four months.</w:t>
      </w:r>
    </w:p>
    <w:p w14:paraId="5FCE947E" w14:textId="77777777" w:rsidR="00A64CB1" w:rsidRDefault="00000000" w:rsidP="00D84342">
      <w:pPr>
        <w:pStyle w:val="Heading2"/>
      </w:pPr>
      <w:r>
        <w:t>Exhibit 3. Development Alternatives Prepared for the Board</w:t>
      </w:r>
    </w:p>
    <w:tbl>
      <w:tblPr>
        <w:tblStyle w:val="TableGrid"/>
        <w:tblW w:w="0" w:type="auto"/>
        <w:jc w:val="center"/>
        <w:tblLook w:val="04A0" w:firstRow="1" w:lastRow="0" w:firstColumn="1" w:lastColumn="0" w:noHBand="0" w:noVBand="1"/>
      </w:tblPr>
      <w:tblGrid>
        <w:gridCol w:w="2049"/>
        <w:gridCol w:w="1843"/>
        <w:gridCol w:w="1625"/>
        <w:gridCol w:w="1415"/>
        <w:gridCol w:w="3340"/>
      </w:tblGrid>
      <w:tr w:rsidR="00A64CB1" w14:paraId="50168A61" w14:textId="77777777">
        <w:trPr>
          <w:jc w:val="center"/>
        </w:trPr>
        <w:tc>
          <w:tcPr>
            <w:tcW w:w="2232" w:type="dxa"/>
            <w:shd w:val="clear" w:color="auto" w:fill="284B63"/>
            <w:vAlign w:val="center"/>
          </w:tcPr>
          <w:p w14:paraId="13239605" w14:textId="77777777" w:rsidR="00A64CB1" w:rsidRDefault="00000000" w:rsidP="00D84342">
            <w:r>
              <w:t>Alternative</w:t>
            </w:r>
          </w:p>
        </w:tc>
        <w:tc>
          <w:tcPr>
            <w:tcW w:w="1944" w:type="dxa"/>
            <w:shd w:val="clear" w:color="auto" w:fill="284B63"/>
            <w:vAlign w:val="center"/>
          </w:tcPr>
          <w:p w14:paraId="573EF50A" w14:textId="77777777" w:rsidR="00A64CB1" w:rsidRDefault="00000000" w:rsidP="00D84342">
            <w:r>
              <w:t>Additional cost</w:t>
            </w:r>
          </w:p>
        </w:tc>
        <w:tc>
          <w:tcPr>
            <w:tcW w:w="1728" w:type="dxa"/>
            <w:shd w:val="clear" w:color="auto" w:fill="284B63"/>
            <w:vAlign w:val="center"/>
          </w:tcPr>
          <w:p w14:paraId="254B5574" w14:textId="77777777" w:rsidR="00A64CB1" w:rsidRDefault="00000000" w:rsidP="00D84342">
            <w:r>
              <w:t>Estimated time</w:t>
            </w:r>
          </w:p>
        </w:tc>
        <w:tc>
          <w:tcPr>
            <w:tcW w:w="1512" w:type="dxa"/>
            <w:shd w:val="clear" w:color="auto" w:fill="284B63"/>
            <w:vAlign w:val="center"/>
          </w:tcPr>
          <w:p w14:paraId="561A0E4B" w14:textId="77777777" w:rsidR="00A64CB1" w:rsidRDefault="00000000" w:rsidP="00D84342">
            <w:r>
              <w:t>Patients needed</w:t>
            </w:r>
          </w:p>
        </w:tc>
        <w:tc>
          <w:tcPr>
            <w:tcW w:w="3816" w:type="dxa"/>
            <w:shd w:val="clear" w:color="auto" w:fill="284B63"/>
            <w:vAlign w:val="center"/>
          </w:tcPr>
          <w:p w14:paraId="40A33434" w14:textId="77777777" w:rsidR="00A64CB1" w:rsidRDefault="00000000" w:rsidP="00D84342">
            <w:r>
              <w:t>Principal exposure</w:t>
            </w:r>
          </w:p>
        </w:tc>
      </w:tr>
      <w:tr w:rsidR="00A64CB1" w14:paraId="4A9AA9B0" w14:textId="77777777">
        <w:trPr>
          <w:jc w:val="center"/>
        </w:trPr>
        <w:tc>
          <w:tcPr>
            <w:tcW w:w="2232" w:type="dxa"/>
            <w:vAlign w:val="center"/>
          </w:tcPr>
          <w:p w14:paraId="0BC77CC4" w14:textId="77777777" w:rsidR="00A64CB1" w:rsidRDefault="00000000" w:rsidP="00D84342">
            <w:r>
              <w:t>Complete original Phase II</w:t>
            </w:r>
          </w:p>
        </w:tc>
        <w:tc>
          <w:tcPr>
            <w:tcW w:w="1944" w:type="dxa"/>
            <w:vAlign w:val="center"/>
          </w:tcPr>
          <w:p w14:paraId="7F0A104A" w14:textId="77777777" w:rsidR="00A64CB1" w:rsidRDefault="00000000" w:rsidP="00D84342">
            <w:r>
              <w:t>$23 million</w:t>
            </w:r>
          </w:p>
        </w:tc>
        <w:tc>
          <w:tcPr>
            <w:tcW w:w="1728" w:type="dxa"/>
            <w:vAlign w:val="center"/>
          </w:tcPr>
          <w:p w14:paraId="401FE3B7" w14:textId="77777777" w:rsidR="00A64CB1" w:rsidRDefault="00000000" w:rsidP="00D84342">
            <w:r>
              <w:t>9-12 months</w:t>
            </w:r>
          </w:p>
        </w:tc>
        <w:tc>
          <w:tcPr>
            <w:tcW w:w="1512" w:type="dxa"/>
            <w:vAlign w:val="center"/>
          </w:tcPr>
          <w:p w14:paraId="226FAEA3" w14:textId="77777777" w:rsidR="00A64CB1" w:rsidRDefault="00000000" w:rsidP="00D84342">
            <w:r>
              <w:t>76</w:t>
            </w:r>
          </w:p>
        </w:tc>
        <w:tc>
          <w:tcPr>
            <w:tcW w:w="3816" w:type="dxa"/>
            <w:vAlign w:val="center"/>
          </w:tcPr>
          <w:p w14:paraId="318B5DCF" w14:textId="77777777" w:rsidR="00A64CB1" w:rsidRDefault="00000000" w:rsidP="00D84342">
            <w:r>
              <w:t>Ambiguous average effect may persist</w:t>
            </w:r>
          </w:p>
        </w:tc>
      </w:tr>
      <w:tr w:rsidR="00A64CB1" w14:paraId="7670149E" w14:textId="77777777">
        <w:trPr>
          <w:jc w:val="center"/>
        </w:trPr>
        <w:tc>
          <w:tcPr>
            <w:tcW w:w="2232" w:type="dxa"/>
            <w:shd w:val="clear" w:color="auto" w:fill="EEF3F6"/>
            <w:vAlign w:val="center"/>
          </w:tcPr>
          <w:p w14:paraId="2A6C9676" w14:textId="77777777" w:rsidR="00A64CB1" w:rsidRDefault="00000000" w:rsidP="00D84342">
            <w:r>
              <w:t>Expand to biomarker-positive cohort</w:t>
            </w:r>
          </w:p>
        </w:tc>
        <w:tc>
          <w:tcPr>
            <w:tcW w:w="1944" w:type="dxa"/>
            <w:shd w:val="clear" w:color="auto" w:fill="EEF3F6"/>
            <w:vAlign w:val="center"/>
          </w:tcPr>
          <w:p w14:paraId="22D4F852" w14:textId="77777777" w:rsidR="00A64CB1" w:rsidRDefault="00000000" w:rsidP="00D84342">
            <w:r>
              <w:t>$38 million</w:t>
            </w:r>
          </w:p>
        </w:tc>
        <w:tc>
          <w:tcPr>
            <w:tcW w:w="1728" w:type="dxa"/>
            <w:shd w:val="clear" w:color="auto" w:fill="EEF3F6"/>
            <w:vAlign w:val="center"/>
          </w:tcPr>
          <w:p w14:paraId="5F473841" w14:textId="77777777" w:rsidR="00A64CB1" w:rsidRDefault="00000000" w:rsidP="00D84342">
            <w:r>
              <w:t>12-15 months</w:t>
            </w:r>
          </w:p>
        </w:tc>
        <w:tc>
          <w:tcPr>
            <w:tcW w:w="1512" w:type="dxa"/>
            <w:shd w:val="clear" w:color="auto" w:fill="EEF3F6"/>
            <w:vAlign w:val="center"/>
          </w:tcPr>
          <w:p w14:paraId="4A4606FB" w14:textId="77777777" w:rsidR="00A64CB1" w:rsidRDefault="00000000" w:rsidP="00D84342">
            <w:r>
              <w:t>120</w:t>
            </w:r>
          </w:p>
        </w:tc>
        <w:tc>
          <w:tcPr>
            <w:tcW w:w="3816" w:type="dxa"/>
            <w:shd w:val="clear" w:color="auto" w:fill="EEF3F6"/>
            <w:vAlign w:val="center"/>
          </w:tcPr>
          <w:p w14:paraId="7B869E33" w14:textId="77777777" w:rsidR="00A64CB1" w:rsidRDefault="00000000" w:rsidP="00D84342">
            <w:r>
              <w:t>Assay and subgroup may not be accepted</w:t>
            </w:r>
          </w:p>
        </w:tc>
      </w:tr>
      <w:tr w:rsidR="00A64CB1" w14:paraId="2260131E" w14:textId="77777777">
        <w:trPr>
          <w:jc w:val="center"/>
        </w:trPr>
        <w:tc>
          <w:tcPr>
            <w:tcW w:w="2232" w:type="dxa"/>
            <w:vAlign w:val="center"/>
          </w:tcPr>
          <w:p w14:paraId="44D3E89C" w14:textId="77777777" w:rsidR="00A64CB1" w:rsidRDefault="00000000" w:rsidP="00D84342">
            <w:r>
              <w:t>Redesign dose and monitoring</w:t>
            </w:r>
          </w:p>
        </w:tc>
        <w:tc>
          <w:tcPr>
            <w:tcW w:w="1944" w:type="dxa"/>
            <w:vAlign w:val="center"/>
          </w:tcPr>
          <w:p w14:paraId="108F8237" w14:textId="77777777" w:rsidR="00A64CB1" w:rsidRDefault="00000000" w:rsidP="00D84342">
            <w:r>
              <w:t>$46 million</w:t>
            </w:r>
          </w:p>
        </w:tc>
        <w:tc>
          <w:tcPr>
            <w:tcW w:w="1728" w:type="dxa"/>
            <w:vAlign w:val="center"/>
          </w:tcPr>
          <w:p w14:paraId="6C832DC7" w14:textId="77777777" w:rsidR="00A64CB1" w:rsidRDefault="00000000" w:rsidP="00D84342">
            <w:r>
              <w:t>15-18 months</w:t>
            </w:r>
          </w:p>
        </w:tc>
        <w:tc>
          <w:tcPr>
            <w:tcW w:w="1512" w:type="dxa"/>
            <w:vAlign w:val="center"/>
          </w:tcPr>
          <w:p w14:paraId="7F80152A" w14:textId="77777777" w:rsidR="00A64CB1" w:rsidRDefault="00000000" w:rsidP="00D84342">
            <w:r>
              <w:t>150</w:t>
            </w:r>
          </w:p>
        </w:tc>
        <w:tc>
          <w:tcPr>
            <w:tcW w:w="3816" w:type="dxa"/>
            <w:vAlign w:val="center"/>
          </w:tcPr>
          <w:p w14:paraId="6FB8DF6C" w14:textId="77777777" w:rsidR="00A64CB1" w:rsidRDefault="00000000" w:rsidP="00D84342">
            <w:r>
              <w:t>Lower dose may lose efficacy</w:t>
            </w:r>
          </w:p>
        </w:tc>
      </w:tr>
      <w:tr w:rsidR="00A64CB1" w14:paraId="74E77786" w14:textId="77777777">
        <w:trPr>
          <w:jc w:val="center"/>
        </w:trPr>
        <w:tc>
          <w:tcPr>
            <w:tcW w:w="2232" w:type="dxa"/>
            <w:shd w:val="clear" w:color="auto" w:fill="EEF3F6"/>
            <w:vAlign w:val="center"/>
          </w:tcPr>
          <w:p w14:paraId="5ACA3A7E" w14:textId="77777777" w:rsidR="00A64CB1" w:rsidRDefault="00000000" w:rsidP="00D84342">
            <w:r>
              <w:t>Begin Phase III planning now</w:t>
            </w:r>
          </w:p>
        </w:tc>
        <w:tc>
          <w:tcPr>
            <w:tcW w:w="1944" w:type="dxa"/>
            <w:shd w:val="clear" w:color="auto" w:fill="EEF3F6"/>
            <w:vAlign w:val="center"/>
          </w:tcPr>
          <w:p w14:paraId="1B32D063" w14:textId="77777777" w:rsidR="00A64CB1" w:rsidRDefault="00000000" w:rsidP="00D84342">
            <w:r>
              <w:t>$118 million before first major readout</w:t>
            </w:r>
          </w:p>
        </w:tc>
        <w:tc>
          <w:tcPr>
            <w:tcW w:w="1728" w:type="dxa"/>
            <w:shd w:val="clear" w:color="auto" w:fill="EEF3F6"/>
            <w:vAlign w:val="center"/>
          </w:tcPr>
          <w:p w14:paraId="07712CED" w14:textId="77777777" w:rsidR="00A64CB1" w:rsidRDefault="00000000" w:rsidP="00D84342">
            <w:r>
              <w:t>30-36 months</w:t>
            </w:r>
          </w:p>
        </w:tc>
        <w:tc>
          <w:tcPr>
            <w:tcW w:w="1512" w:type="dxa"/>
            <w:shd w:val="clear" w:color="auto" w:fill="EEF3F6"/>
            <w:vAlign w:val="center"/>
          </w:tcPr>
          <w:p w14:paraId="1BD5341A" w14:textId="77777777" w:rsidR="00A64CB1" w:rsidRDefault="00000000" w:rsidP="00D84342">
            <w:r>
              <w:t>780</w:t>
            </w:r>
          </w:p>
        </w:tc>
        <w:tc>
          <w:tcPr>
            <w:tcW w:w="3816" w:type="dxa"/>
            <w:shd w:val="clear" w:color="auto" w:fill="EEF3F6"/>
            <w:vAlign w:val="center"/>
          </w:tcPr>
          <w:p w14:paraId="5D3C7F2B" w14:textId="77777777" w:rsidR="00A64CB1" w:rsidRDefault="00000000" w:rsidP="00D84342">
            <w:r>
              <w:t>Commits capital before uncertainty is resolved</w:t>
            </w:r>
          </w:p>
        </w:tc>
      </w:tr>
      <w:tr w:rsidR="00A64CB1" w14:paraId="4236AC08" w14:textId="77777777">
        <w:trPr>
          <w:jc w:val="center"/>
        </w:trPr>
        <w:tc>
          <w:tcPr>
            <w:tcW w:w="2232" w:type="dxa"/>
            <w:vAlign w:val="center"/>
          </w:tcPr>
          <w:p w14:paraId="6EE146E3" w14:textId="77777777" w:rsidR="00A64CB1" w:rsidRDefault="00000000" w:rsidP="00D84342">
            <w:r>
              <w:t>Pause CLN-47 and await other program</w:t>
            </w:r>
          </w:p>
        </w:tc>
        <w:tc>
          <w:tcPr>
            <w:tcW w:w="1944" w:type="dxa"/>
            <w:vAlign w:val="center"/>
          </w:tcPr>
          <w:p w14:paraId="5369725E" w14:textId="77777777" w:rsidR="00A64CB1" w:rsidRDefault="00000000" w:rsidP="00D84342">
            <w:r>
              <w:t>$6 million wind-down and preservation</w:t>
            </w:r>
          </w:p>
        </w:tc>
        <w:tc>
          <w:tcPr>
            <w:tcW w:w="1728" w:type="dxa"/>
            <w:vAlign w:val="center"/>
          </w:tcPr>
          <w:p w14:paraId="0F555C63" w14:textId="77777777" w:rsidR="00A64CB1" w:rsidRDefault="00000000" w:rsidP="00D84342">
            <w:r>
              <w:t>4-6 months</w:t>
            </w:r>
          </w:p>
        </w:tc>
        <w:tc>
          <w:tcPr>
            <w:tcW w:w="1512" w:type="dxa"/>
            <w:vAlign w:val="center"/>
          </w:tcPr>
          <w:p w14:paraId="58C60C71" w14:textId="77777777" w:rsidR="00A64CB1" w:rsidRDefault="00000000" w:rsidP="00D84342">
            <w:r>
              <w:t>0 new</w:t>
            </w:r>
          </w:p>
        </w:tc>
        <w:tc>
          <w:tcPr>
            <w:tcW w:w="3816" w:type="dxa"/>
            <w:vAlign w:val="center"/>
          </w:tcPr>
          <w:p w14:paraId="40D83A05" w14:textId="77777777" w:rsidR="00A64CB1" w:rsidRDefault="00000000" w:rsidP="00D84342">
            <w:r>
              <w:t>Sites and investors may lose confidence</w:t>
            </w:r>
          </w:p>
        </w:tc>
      </w:tr>
      <w:tr w:rsidR="00A64CB1" w14:paraId="04520C6E" w14:textId="77777777">
        <w:trPr>
          <w:jc w:val="center"/>
        </w:trPr>
        <w:tc>
          <w:tcPr>
            <w:tcW w:w="2232" w:type="dxa"/>
            <w:shd w:val="clear" w:color="auto" w:fill="EEF3F6"/>
            <w:vAlign w:val="center"/>
          </w:tcPr>
          <w:p w14:paraId="46727D0E" w14:textId="77777777" w:rsidR="00A64CB1" w:rsidRDefault="00000000" w:rsidP="00D84342">
            <w:r>
              <w:t>Terminate CLN-47</w:t>
            </w:r>
          </w:p>
        </w:tc>
        <w:tc>
          <w:tcPr>
            <w:tcW w:w="1944" w:type="dxa"/>
            <w:shd w:val="clear" w:color="auto" w:fill="EEF3F6"/>
            <w:vAlign w:val="center"/>
          </w:tcPr>
          <w:p w14:paraId="31346D3C" w14:textId="77777777" w:rsidR="00A64CB1" w:rsidRDefault="00000000" w:rsidP="00D84342">
            <w:r>
              <w:t>$3 million closeout</w:t>
            </w:r>
          </w:p>
        </w:tc>
        <w:tc>
          <w:tcPr>
            <w:tcW w:w="1728" w:type="dxa"/>
            <w:shd w:val="clear" w:color="auto" w:fill="EEF3F6"/>
            <w:vAlign w:val="center"/>
          </w:tcPr>
          <w:p w14:paraId="434F66E5" w14:textId="77777777" w:rsidR="00A64CB1" w:rsidRDefault="00000000" w:rsidP="00D84342">
            <w:r>
              <w:t>3 months</w:t>
            </w:r>
          </w:p>
        </w:tc>
        <w:tc>
          <w:tcPr>
            <w:tcW w:w="1512" w:type="dxa"/>
            <w:shd w:val="clear" w:color="auto" w:fill="EEF3F6"/>
            <w:vAlign w:val="center"/>
          </w:tcPr>
          <w:p w14:paraId="582B3FB3" w14:textId="77777777" w:rsidR="00A64CB1" w:rsidRDefault="00000000" w:rsidP="00D84342">
            <w:r>
              <w:t>0 new</w:t>
            </w:r>
          </w:p>
        </w:tc>
        <w:tc>
          <w:tcPr>
            <w:tcW w:w="3816" w:type="dxa"/>
            <w:shd w:val="clear" w:color="auto" w:fill="EEF3F6"/>
            <w:vAlign w:val="center"/>
          </w:tcPr>
          <w:p w14:paraId="0E378E12" w14:textId="77777777" w:rsidR="00A64CB1" w:rsidRDefault="00000000" w:rsidP="00D84342">
            <w:r>
              <w:t>Potentially valuable treatment abandoned</w:t>
            </w:r>
          </w:p>
        </w:tc>
      </w:tr>
    </w:tbl>
    <w:p w14:paraId="5AB37ACD" w14:textId="77777777" w:rsidR="00A64CB1" w:rsidRDefault="00A64CB1" w:rsidP="00D84342"/>
    <w:p w14:paraId="327AF612" w14:textId="77777777" w:rsidR="00A64CB1" w:rsidRDefault="00000000" w:rsidP="00D84342">
      <w:pPr>
        <w:pStyle w:val="Heading1"/>
      </w:pPr>
      <w:r>
        <w:t>Regulatory and Manufacturing Questions</w:t>
      </w:r>
    </w:p>
    <w:p w14:paraId="323EE416" w14:textId="77777777" w:rsidR="00A64CB1" w:rsidRDefault="00000000" w:rsidP="00D84342">
      <w:r>
        <w:t>Crestline’s regulatory advisers expected the agency to focus on the liver signal, the clinical importance of the lung-function change, and the credibility of the biomarker. A formal meeting could clarify expectations, but briefing materials would take ten weeks to prepare and the agency’s response might not resolve the disagreement. Regulators could request a larger safety database, longer follow-up, a different endpoint, or an additional dose arm.</w:t>
      </w:r>
    </w:p>
    <w:p w14:paraId="31C0E7C6" w14:textId="77777777" w:rsidR="00A64CB1" w:rsidRDefault="00000000" w:rsidP="00D84342">
      <w:r>
        <w:t xml:space="preserve">Manufacturing added another uncertainty. The current formulation required refrigerated distribution and had a shelf life of nine months. A contract manufacturer had produced enough material to complete the Phase II </w:t>
      </w:r>
      <w:r>
        <w:lastRenderedPageBreak/>
        <w:t>study, but a Phase III program would require reserving a production line within sixty days. The reservation deposit was $14 million and nonrefundable. A second manufacturer offered a lower unit cost but would need to repeat process-validation work. Engineers were also testing a room-temperature formulation, although it might not be ready before a pivotal trial began.</w:t>
      </w:r>
    </w:p>
    <w:p w14:paraId="50887138" w14:textId="77777777" w:rsidR="00A64CB1" w:rsidRDefault="00000000" w:rsidP="00D84342">
      <w:pPr>
        <w:pStyle w:val="Heading2"/>
      </w:pPr>
      <w:r>
        <w:t>Exhibit 4. Illustrative Commercial Assumptions</w:t>
      </w:r>
    </w:p>
    <w:tbl>
      <w:tblPr>
        <w:tblStyle w:val="TableGrid"/>
        <w:tblW w:w="0" w:type="auto"/>
        <w:jc w:val="center"/>
        <w:tblLook w:val="04A0" w:firstRow="1" w:lastRow="0" w:firstColumn="1" w:lastColumn="0" w:noHBand="0" w:noVBand="1"/>
      </w:tblPr>
      <w:tblGrid>
        <w:gridCol w:w="2779"/>
        <w:gridCol w:w="2051"/>
        <w:gridCol w:w="2216"/>
        <w:gridCol w:w="3226"/>
      </w:tblGrid>
      <w:tr w:rsidR="00A64CB1" w14:paraId="7BC898D2" w14:textId="77777777">
        <w:trPr>
          <w:jc w:val="center"/>
        </w:trPr>
        <w:tc>
          <w:tcPr>
            <w:tcW w:w="2520" w:type="dxa"/>
            <w:shd w:val="clear" w:color="auto" w:fill="284B63"/>
            <w:vAlign w:val="center"/>
          </w:tcPr>
          <w:p w14:paraId="1D6C4677" w14:textId="77777777" w:rsidR="00A64CB1" w:rsidRDefault="00000000" w:rsidP="00D84342">
            <w:r>
              <w:t>Assumption</w:t>
            </w:r>
          </w:p>
        </w:tc>
        <w:tc>
          <w:tcPr>
            <w:tcW w:w="2232" w:type="dxa"/>
            <w:shd w:val="clear" w:color="auto" w:fill="284B63"/>
            <w:vAlign w:val="center"/>
          </w:tcPr>
          <w:p w14:paraId="5DD803E4" w14:textId="77777777" w:rsidR="00A64CB1" w:rsidRDefault="00000000" w:rsidP="00D84342">
            <w:r>
              <w:t>Broad-label product</w:t>
            </w:r>
          </w:p>
        </w:tc>
        <w:tc>
          <w:tcPr>
            <w:tcW w:w="2376" w:type="dxa"/>
            <w:shd w:val="clear" w:color="auto" w:fill="284B63"/>
            <w:vAlign w:val="center"/>
          </w:tcPr>
          <w:p w14:paraId="431A38AA" w14:textId="77777777" w:rsidR="00A64CB1" w:rsidRDefault="00000000" w:rsidP="00D84342">
            <w:r>
              <w:t>Biomarker-limited product</w:t>
            </w:r>
          </w:p>
        </w:tc>
        <w:tc>
          <w:tcPr>
            <w:tcW w:w="3528" w:type="dxa"/>
            <w:shd w:val="clear" w:color="auto" w:fill="284B63"/>
            <w:vAlign w:val="center"/>
          </w:tcPr>
          <w:p w14:paraId="5FFCAEBE" w14:textId="77777777" w:rsidR="00A64CB1" w:rsidRDefault="00000000" w:rsidP="00D84342">
            <w:r>
              <w:t>Major uncertainty</w:t>
            </w:r>
          </w:p>
        </w:tc>
      </w:tr>
      <w:tr w:rsidR="00A64CB1" w14:paraId="1E1CF0E1" w14:textId="77777777">
        <w:trPr>
          <w:jc w:val="center"/>
        </w:trPr>
        <w:tc>
          <w:tcPr>
            <w:tcW w:w="2520" w:type="dxa"/>
            <w:vAlign w:val="center"/>
          </w:tcPr>
          <w:p w14:paraId="599B9C69" w14:textId="77777777" w:rsidR="00A64CB1" w:rsidRDefault="00000000" w:rsidP="00D84342">
            <w:r>
              <w:t>Eligible U.S. patients at launch</w:t>
            </w:r>
          </w:p>
        </w:tc>
        <w:tc>
          <w:tcPr>
            <w:tcW w:w="2232" w:type="dxa"/>
            <w:vAlign w:val="center"/>
          </w:tcPr>
          <w:p w14:paraId="41CC462E" w14:textId="77777777" w:rsidR="00A64CB1" w:rsidRDefault="00000000" w:rsidP="00D84342">
            <w:r>
              <w:t>78,000</w:t>
            </w:r>
          </w:p>
        </w:tc>
        <w:tc>
          <w:tcPr>
            <w:tcW w:w="2376" w:type="dxa"/>
            <w:vAlign w:val="center"/>
          </w:tcPr>
          <w:p w14:paraId="54AD2AFA" w14:textId="77777777" w:rsidR="00A64CB1" w:rsidRDefault="00000000" w:rsidP="00D84342">
            <w:r>
              <w:t>29,000</w:t>
            </w:r>
          </w:p>
        </w:tc>
        <w:tc>
          <w:tcPr>
            <w:tcW w:w="3528" w:type="dxa"/>
            <w:vAlign w:val="center"/>
          </w:tcPr>
          <w:p w14:paraId="1256919D" w14:textId="77777777" w:rsidR="00A64CB1" w:rsidRDefault="00000000" w:rsidP="00D84342">
            <w:r>
              <w:t>Diagnosis, progression, label wording</w:t>
            </w:r>
          </w:p>
        </w:tc>
      </w:tr>
      <w:tr w:rsidR="00A64CB1" w14:paraId="701E0875" w14:textId="77777777">
        <w:trPr>
          <w:jc w:val="center"/>
        </w:trPr>
        <w:tc>
          <w:tcPr>
            <w:tcW w:w="2520" w:type="dxa"/>
            <w:shd w:val="clear" w:color="auto" w:fill="EEF3F6"/>
            <w:vAlign w:val="center"/>
          </w:tcPr>
          <w:p w14:paraId="5751AE18" w14:textId="77777777" w:rsidR="00A64CB1" w:rsidRDefault="00000000" w:rsidP="00D84342">
            <w:r>
              <w:t>Physician adoption after three years</w:t>
            </w:r>
          </w:p>
        </w:tc>
        <w:tc>
          <w:tcPr>
            <w:tcW w:w="2232" w:type="dxa"/>
            <w:shd w:val="clear" w:color="auto" w:fill="EEF3F6"/>
            <w:vAlign w:val="center"/>
          </w:tcPr>
          <w:p w14:paraId="7390BE0F" w14:textId="77777777" w:rsidR="00A64CB1" w:rsidRDefault="00000000" w:rsidP="00D84342">
            <w:r>
              <w:t>38%</w:t>
            </w:r>
          </w:p>
        </w:tc>
        <w:tc>
          <w:tcPr>
            <w:tcW w:w="2376" w:type="dxa"/>
            <w:shd w:val="clear" w:color="auto" w:fill="EEF3F6"/>
            <w:vAlign w:val="center"/>
          </w:tcPr>
          <w:p w14:paraId="12D84282" w14:textId="77777777" w:rsidR="00A64CB1" w:rsidRDefault="00000000" w:rsidP="00D84342">
            <w:r>
              <w:t>55%</w:t>
            </w:r>
          </w:p>
        </w:tc>
        <w:tc>
          <w:tcPr>
            <w:tcW w:w="3528" w:type="dxa"/>
            <w:shd w:val="clear" w:color="auto" w:fill="EEF3F6"/>
            <w:vAlign w:val="center"/>
          </w:tcPr>
          <w:p w14:paraId="0D7C2EDA" w14:textId="77777777" w:rsidR="00A64CB1" w:rsidRDefault="00000000" w:rsidP="00D84342">
            <w:r>
              <w:t>Perceived benefit and monitoring burden</w:t>
            </w:r>
          </w:p>
        </w:tc>
      </w:tr>
      <w:tr w:rsidR="00A64CB1" w14:paraId="637B1EB1" w14:textId="77777777">
        <w:trPr>
          <w:jc w:val="center"/>
        </w:trPr>
        <w:tc>
          <w:tcPr>
            <w:tcW w:w="2520" w:type="dxa"/>
            <w:vAlign w:val="center"/>
          </w:tcPr>
          <w:p w14:paraId="4B37513C" w14:textId="77777777" w:rsidR="00A64CB1" w:rsidRDefault="00000000" w:rsidP="00D84342">
            <w:r>
              <w:t>Annual net price per treated patient</w:t>
            </w:r>
          </w:p>
        </w:tc>
        <w:tc>
          <w:tcPr>
            <w:tcW w:w="2232" w:type="dxa"/>
            <w:vAlign w:val="center"/>
          </w:tcPr>
          <w:p w14:paraId="243457D2" w14:textId="77777777" w:rsidR="00A64CB1" w:rsidRDefault="00000000" w:rsidP="00D84342">
            <w:r>
              <w:t>$48,000</w:t>
            </w:r>
          </w:p>
        </w:tc>
        <w:tc>
          <w:tcPr>
            <w:tcW w:w="2376" w:type="dxa"/>
            <w:vAlign w:val="center"/>
          </w:tcPr>
          <w:p w14:paraId="0719D1C8" w14:textId="77777777" w:rsidR="00A64CB1" w:rsidRDefault="00000000" w:rsidP="00D84342">
            <w:r>
              <w:t>$56,000</w:t>
            </w:r>
          </w:p>
        </w:tc>
        <w:tc>
          <w:tcPr>
            <w:tcW w:w="3528" w:type="dxa"/>
            <w:vAlign w:val="center"/>
          </w:tcPr>
          <w:p w14:paraId="0491ABDE" w14:textId="77777777" w:rsidR="00A64CB1" w:rsidRDefault="00000000" w:rsidP="00D84342">
            <w:r>
              <w:t>Payer restrictions and competition</w:t>
            </w:r>
          </w:p>
        </w:tc>
      </w:tr>
      <w:tr w:rsidR="00A64CB1" w14:paraId="4364432E" w14:textId="77777777">
        <w:trPr>
          <w:jc w:val="center"/>
        </w:trPr>
        <w:tc>
          <w:tcPr>
            <w:tcW w:w="2520" w:type="dxa"/>
            <w:shd w:val="clear" w:color="auto" w:fill="EEF3F6"/>
            <w:vAlign w:val="center"/>
          </w:tcPr>
          <w:p w14:paraId="05554B3D" w14:textId="77777777" w:rsidR="00A64CB1" w:rsidRDefault="00000000" w:rsidP="00D84342">
            <w:r>
              <w:t>Annual manufacturing/distribution cost</w:t>
            </w:r>
          </w:p>
        </w:tc>
        <w:tc>
          <w:tcPr>
            <w:tcW w:w="2232" w:type="dxa"/>
            <w:shd w:val="clear" w:color="auto" w:fill="EEF3F6"/>
            <w:vAlign w:val="center"/>
          </w:tcPr>
          <w:p w14:paraId="34341BF5" w14:textId="77777777" w:rsidR="00A64CB1" w:rsidRDefault="00000000" w:rsidP="00D84342">
            <w:r>
              <w:t>$7,800</w:t>
            </w:r>
          </w:p>
        </w:tc>
        <w:tc>
          <w:tcPr>
            <w:tcW w:w="2376" w:type="dxa"/>
            <w:shd w:val="clear" w:color="auto" w:fill="EEF3F6"/>
            <w:vAlign w:val="center"/>
          </w:tcPr>
          <w:p w14:paraId="4E2153B4" w14:textId="77777777" w:rsidR="00A64CB1" w:rsidRDefault="00000000" w:rsidP="00D84342">
            <w:r>
              <w:t>$8,600</w:t>
            </w:r>
          </w:p>
        </w:tc>
        <w:tc>
          <w:tcPr>
            <w:tcW w:w="3528" w:type="dxa"/>
            <w:shd w:val="clear" w:color="auto" w:fill="EEF3F6"/>
            <w:vAlign w:val="center"/>
          </w:tcPr>
          <w:p w14:paraId="6F950817" w14:textId="77777777" w:rsidR="00A64CB1" w:rsidRDefault="00000000" w:rsidP="00D84342">
            <w:r>
              <w:t>Scale, refrigeration, wastage</w:t>
            </w:r>
          </w:p>
        </w:tc>
      </w:tr>
      <w:tr w:rsidR="00A64CB1" w14:paraId="7682EFBB" w14:textId="77777777">
        <w:trPr>
          <w:jc w:val="center"/>
        </w:trPr>
        <w:tc>
          <w:tcPr>
            <w:tcW w:w="2520" w:type="dxa"/>
            <w:vAlign w:val="center"/>
          </w:tcPr>
          <w:p w14:paraId="78721A0B" w14:textId="77777777" w:rsidR="00A64CB1" w:rsidRDefault="00000000" w:rsidP="00D84342">
            <w:r>
              <w:t>Time to market from current decision</w:t>
            </w:r>
          </w:p>
        </w:tc>
        <w:tc>
          <w:tcPr>
            <w:tcW w:w="2232" w:type="dxa"/>
            <w:vAlign w:val="center"/>
          </w:tcPr>
          <w:p w14:paraId="4C5E0C22" w14:textId="77777777" w:rsidR="00A64CB1" w:rsidRDefault="00000000" w:rsidP="00D84342">
            <w:r>
              <w:t>4.5-5.5 years</w:t>
            </w:r>
          </w:p>
        </w:tc>
        <w:tc>
          <w:tcPr>
            <w:tcW w:w="2376" w:type="dxa"/>
            <w:vAlign w:val="center"/>
          </w:tcPr>
          <w:p w14:paraId="4F04632B" w14:textId="77777777" w:rsidR="00A64CB1" w:rsidRDefault="00000000" w:rsidP="00D84342">
            <w:r>
              <w:t>4.0-5.0 years</w:t>
            </w:r>
          </w:p>
        </w:tc>
        <w:tc>
          <w:tcPr>
            <w:tcW w:w="3528" w:type="dxa"/>
            <w:vAlign w:val="center"/>
          </w:tcPr>
          <w:p w14:paraId="765D5B42" w14:textId="77777777" w:rsidR="00A64CB1" w:rsidRDefault="00000000" w:rsidP="00D84342">
            <w:r>
              <w:t>Trial outcome and regulatory review</w:t>
            </w:r>
          </w:p>
        </w:tc>
      </w:tr>
      <w:tr w:rsidR="00A64CB1" w14:paraId="3DFE0077" w14:textId="77777777">
        <w:trPr>
          <w:jc w:val="center"/>
        </w:trPr>
        <w:tc>
          <w:tcPr>
            <w:tcW w:w="2520" w:type="dxa"/>
            <w:shd w:val="clear" w:color="auto" w:fill="EEF3F6"/>
            <w:vAlign w:val="center"/>
          </w:tcPr>
          <w:p w14:paraId="1833C369" w14:textId="77777777" w:rsidR="00A64CB1" w:rsidRDefault="00000000" w:rsidP="00D84342">
            <w:r>
              <w:t>Remaining effective patent life at launch</w:t>
            </w:r>
          </w:p>
        </w:tc>
        <w:tc>
          <w:tcPr>
            <w:tcW w:w="2232" w:type="dxa"/>
            <w:shd w:val="clear" w:color="auto" w:fill="EEF3F6"/>
            <w:vAlign w:val="center"/>
          </w:tcPr>
          <w:p w14:paraId="14DC4AF8" w14:textId="77777777" w:rsidR="00A64CB1" w:rsidRDefault="00000000" w:rsidP="00D84342">
            <w:r>
              <w:t>7-9 years</w:t>
            </w:r>
          </w:p>
        </w:tc>
        <w:tc>
          <w:tcPr>
            <w:tcW w:w="2376" w:type="dxa"/>
            <w:shd w:val="clear" w:color="auto" w:fill="EEF3F6"/>
            <w:vAlign w:val="center"/>
          </w:tcPr>
          <w:p w14:paraId="6234CBEE" w14:textId="77777777" w:rsidR="00A64CB1" w:rsidRDefault="00000000" w:rsidP="00D84342">
            <w:r>
              <w:t>8-10 years</w:t>
            </w:r>
          </w:p>
        </w:tc>
        <w:tc>
          <w:tcPr>
            <w:tcW w:w="3528" w:type="dxa"/>
            <w:shd w:val="clear" w:color="auto" w:fill="EEF3F6"/>
            <w:vAlign w:val="center"/>
          </w:tcPr>
          <w:p w14:paraId="1E806060" w14:textId="77777777" w:rsidR="00A64CB1" w:rsidRDefault="00000000" w:rsidP="00D84342">
            <w:r>
              <w:t>Delays and patent challenges</w:t>
            </w:r>
          </w:p>
        </w:tc>
      </w:tr>
    </w:tbl>
    <w:p w14:paraId="5464BAE8" w14:textId="77777777" w:rsidR="00A64CB1" w:rsidRDefault="00A64CB1" w:rsidP="00D84342"/>
    <w:p w14:paraId="376342C7" w14:textId="77777777" w:rsidR="00A64CB1" w:rsidRDefault="00000000" w:rsidP="00D84342">
      <w:pPr>
        <w:pStyle w:val="Heading1"/>
      </w:pPr>
      <w:r>
        <w:t>The Capital Constraint</w:t>
      </w:r>
    </w:p>
    <w:p w14:paraId="7605A6BA" w14:textId="77777777" w:rsidR="00A64CB1" w:rsidRDefault="00000000" w:rsidP="00D84342">
      <w:r>
        <w:t>Crestline had $186 million in cash and marketable securities. Existing commitments for CLN-47, the second compound, corporate operations, and debt service would consume approximately $91 million over the next eighteen months. Raising new equity was possible, but the company’s share price had fallen 37 percent after the enrollment delay was disclosed. A partnership with a larger pharmaceutical company could provide capital and trial-management expertise, but potential partners wanted to review the interim data and might demand control of future development and pricing.</w:t>
      </w:r>
    </w:p>
    <w:p w14:paraId="51DA36FD" w14:textId="77777777" w:rsidR="00A64CB1" w:rsidRDefault="00000000" w:rsidP="00D84342">
      <w:r>
        <w:t>The chief financial officer argued that Crestline could not treat every scientific question as something that required another study. The head of research responded that terminating a program after an inconclusive interim analysis would systematically favor treatments with quick, obvious effects and abandon therapies that required better patient selection. The commercial chief believed a biomarker-defined product could command stronger physician interest. The head of clinical operations cautioned that a narrower population might be harder, not easier, to recruit.</w:t>
      </w:r>
    </w:p>
    <w:p w14:paraId="3B7C66D8" w14:textId="77777777" w:rsidR="00A64CB1" w:rsidRDefault="00000000" w:rsidP="00D84342">
      <w:pPr>
        <w:pStyle w:val="Heading2"/>
      </w:pPr>
      <w:r>
        <w:t>Exhibit 5. Eighteen-Month Cash Outlook</w:t>
      </w:r>
    </w:p>
    <w:tbl>
      <w:tblPr>
        <w:tblStyle w:val="TableGrid"/>
        <w:tblW w:w="0" w:type="auto"/>
        <w:jc w:val="center"/>
        <w:tblLook w:val="04A0" w:firstRow="1" w:lastRow="0" w:firstColumn="1" w:lastColumn="0" w:noHBand="0" w:noVBand="1"/>
      </w:tblPr>
      <w:tblGrid>
        <w:gridCol w:w="3279"/>
        <w:gridCol w:w="2285"/>
        <w:gridCol w:w="2355"/>
        <w:gridCol w:w="2353"/>
      </w:tblGrid>
      <w:tr w:rsidR="00A64CB1" w14:paraId="32F53965" w14:textId="77777777">
        <w:trPr>
          <w:jc w:val="center"/>
        </w:trPr>
        <w:tc>
          <w:tcPr>
            <w:tcW w:w="3312" w:type="dxa"/>
            <w:shd w:val="clear" w:color="auto" w:fill="284B63"/>
            <w:vAlign w:val="center"/>
          </w:tcPr>
          <w:p w14:paraId="2E824BA1" w14:textId="77777777" w:rsidR="00A64CB1" w:rsidRDefault="00000000" w:rsidP="00D84342">
            <w:r>
              <w:t>Use of cash</w:t>
            </w:r>
          </w:p>
        </w:tc>
        <w:tc>
          <w:tcPr>
            <w:tcW w:w="2304" w:type="dxa"/>
            <w:shd w:val="clear" w:color="auto" w:fill="284B63"/>
            <w:vAlign w:val="center"/>
          </w:tcPr>
          <w:p w14:paraId="579C2D30" w14:textId="77777777" w:rsidR="00A64CB1" w:rsidRDefault="00000000" w:rsidP="00D84342">
            <w:r>
              <w:t>Committed / base plan</w:t>
            </w:r>
          </w:p>
        </w:tc>
        <w:tc>
          <w:tcPr>
            <w:tcW w:w="2376" w:type="dxa"/>
            <w:shd w:val="clear" w:color="auto" w:fill="284B63"/>
            <w:vAlign w:val="center"/>
          </w:tcPr>
          <w:p w14:paraId="1D7E7224" w14:textId="77777777" w:rsidR="00A64CB1" w:rsidRDefault="00000000" w:rsidP="00D84342">
            <w:r>
              <w:t>Original-trial completion</w:t>
            </w:r>
          </w:p>
        </w:tc>
        <w:tc>
          <w:tcPr>
            <w:tcW w:w="2376" w:type="dxa"/>
            <w:shd w:val="clear" w:color="auto" w:fill="284B63"/>
            <w:vAlign w:val="center"/>
          </w:tcPr>
          <w:p w14:paraId="16ED918B" w14:textId="77777777" w:rsidR="00A64CB1" w:rsidRDefault="00000000" w:rsidP="00D84342">
            <w:r>
              <w:t>Biomarker expansion</w:t>
            </w:r>
          </w:p>
        </w:tc>
      </w:tr>
      <w:tr w:rsidR="00A64CB1" w14:paraId="07144728" w14:textId="77777777">
        <w:trPr>
          <w:jc w:val="center"/>
        </w:trPr>
        <w:tc>
          <w:tcPr>
            <w:tcW w:w="3312" w:type="dxa"/>
            <w:vAlign w:val="center"/>
          </w:tcPr>
          <w:p w14:paraId="04A79E81" w14:textId="77777777" w:rsidR="00A64CB1" w:rsidRDefault="00000000" w:rsidP="00D84342">
            <w:r>
              <w:t>Corporate operations and debt</w:t>
            </w:r>
          </w:p>
        </w:tc>
        <w:tc>
          <w:tcPr>
            <w:tcW w:w="2304" w:type="dxa"/>
            <w:vAlign w:val="center"/>
          </w:tcPr>
          <w:p w14:paraId="2D7860EE" w14:textId="77777777" w:rsidR="00A64CB1" w:rsidRDefault="00000000" w:rsidP="00D84342">
            <w:r>
              <w:t>$49 million</w:t>
            </w:r>
          </w:p>
        </w:tc>
        <w:tc>
          <w:tcPr>
            <w:tcW w:w="2376" w:type="dxa"/>
            <w:vAlign w:val="center"/>
          </w:tcPr>
          <w:p w14:paraId="7E2B486C" w14:textId="77777777" w:rsidR="00A64CB1" w:rsidRDefault="00000000" w:rsidP="00D84342">
            <w:r>
              <w:t>$49 million</w:t>
            </w:r>
          </w:p>
        </w:tc>
        <w:tc>
          <w:tcPr>
            <w:tcW w:w="2376" w:type="dxa"/>
            <w:vAlign w:val="center"/>
          </w:tcPr>
          <w:p w14:paraId="5D865FC1" w14:textId="77777777" w:rsidR="00A64CB1" w:rsidRDefault="00000000" w:rsidP="00D84342">
            <w:r>
              <w:t>$49 million</w:t>
            </w:r>
          </w:p>
        </w:tc>
      </w:tr>
      <w:tr w:rsidR="00A64CB1" w14:paraId="10F86925" w14:textId="77777777">
        <w:trPr>
          <w:jc w:val="center"/>
        </w:trPr>
        <w:tc>
          <w:tcPr>
            <w:tcW w:w="3312" w:type="dxa"/>
            <w:shd w:val="clear" w:color="auto" w:fill="EEF3F6"/>
            <w:vAlign w:val="center"/>
          </w:tcPr>
          <w:p w14:paraId="2FFA8D6B" w14:textId="77777777" w:rsidR="00A64CB1" w:rsidRDefault="00000000" w:rsidP="00D84342">
            <w:r>
              <w:t>Current CLN-47 obligations</w:t>
            </w:r>
          </w:p>
        </w:tc>
        <w:tc>
          <w:tcPr>
            <w:tcW w:w="2304" w:type="dxa"/>
            <w:shd w:val="clear" w:color="auto" w:fill="EEF3F6"/>
            <w:vAlign w:val="center"/>
          </w:tcPr>
          <w:p w14:paraId="3A100B14" w14:textId="77777777" w:rsidR="00A64CB1" w:rsidRDefault="00000000" w:rsidP="00D84342">
            <w:r>
              <w:t>$35 million</w:t>
            </w:r>
          </w:p>
        </w:tc>
        <w:tc>
          <w:tcPr>
            <w:tcW w:w="2376" w:type="dxa"/>
            <w:shd w:val="clear" w:color="auto" w:fill="EEF3F6"/>
            <w:vAlign w:val="center"/>
          </w:tcPr>
          <w:p w14:paraId="1485C381" w14:textId="77777777" w:rsidR="00A64CB1" w:rsidRDefault="00000000" w:rsidP="00D84342">
            <w:r>
              <w:t>$35 million</w:t>
            </w:r>
          </w:p>
        </w:tc>
        <w:tc>
          <w:tcPr>
            <w:tcW w:w="2376" w:type="dxa"/>
            <w:shd w:val="clear" w:color="auto" w:fill="EEF3F6"/>
            <w:vAlign w:val="center"/>
          </w:tcPr>
          <w:p w14:paraId="6AA9D90B" w14:textId="77777777" w:rsidR="00A64CB1" w:rsidRDefault="00000000" w:rsidP="00D84342">
            <w:r>
              <w:t>$35 million</w:t>
            </w:r>
          </w:p>
        </w:tc>
      </w:tr>
      <w:tr w:rsidR="00A64CB1" w14:paraId="15447AC5" w14:textId="77777777">
        <w:trPr>
          <w:jc w:val="center"/>
        </w:trPr>
        <w:tc>
          <w:tcPr>
            <w:tcW w:w="3312" w:type="dxa"/>
            <w:vAlign w:val="center"/>
          </w:tcPr>
          <w:p w14:paraId="24E6645E" w14:textId="77777777" w:rsidR="00A64CB1" w:rsidRDefault="00000000" w:rsidP="00D84342">
            <w:r>
              <w:t>Additional CLN-47 program</w:t>
            </w:r>
          </w:p>
        </w:tc>
        <w:tc>
          <w:tcPr>
            <w:tcW w:w="2304" w:type="dxa"/>
            <w:vAlign w:val="center"/>
          </w:tcPr>
          <w:p w14:paraId="35A53F45" w14:textId="77777777" w:rsidR="00A64CB1" w:rsidRDefault="00000000" w:rsidP="00D84342">
            <w:r>
              <w:t>$0</w:t>
            </w:r>
          </w:p>
        </w:tc>
        <w:tc>
          <w:tcPr>
            <w:tcW w:w="2376" w:type="dxa"/>
            <w:vAlign w:val="center"/>
          </w:tcPr>
          <w:p w14:paraId="1F78FABB" w14:textId="77777777" w:rsidR="00A64CB1" w:rsidRDefault="00000000" w:rsidP="00D84342">
            <w:r>
              <w:t>$23 million</w:t>
            </w:r>
          </w:p>
        </w:tc>
        <w:tc>
          <w:tcPr>
            <w:tcW w:w="2376" w:type="dxa"/>
            <w:vAlign w:val="center"/>
          </w:tcPr>
          <w:p w14:paraId="7F37A867" w14:textId="77777777" w:rsidR="00A64CB1" w:rsidRDefault="00000000" w:rsidP="00D84342">
            <w:r>
              <w:t>$38 million</w:t>
            </w:r>
          </w:p>
        </w:tc>
      </w:tr>
      <w:tr w:rsidR="00A64CB1" w14:paraId="6A1148A4" w14:textId="77777777">
        <w:trPr>
          <w:jc w:val="center"/>
        </w:trPr>
        <w:tc>
          <w:tcPr>
            <w:tcW w:w="3312" w:type="dxa"/>
            <w:shd w:val="clear" w:color="auto" w:fill="EEF3F6"/>
            <w:vAlign w:val="center"/>
          </w:tcPr>
          <w:p w14:paraId="7F269B13" w14:textId="77777777" w:rsidR="00A64CB1" w:rsidRDefault="00000000" w:rsidP="00D84342">
            <w:r>
              <w:t>Second development compound</w:t>
            </w:r>
          </w:p>
        </w:tc>
        <w:tc>
          <w:tcPr>
            <w:tcW w:w="2304" w:type="dxa"/>
            <w:shd w:val="clear" w:color="auto" w:fill="EEF3F6"/>
            <w:vAlign w:val="center"/>
          </w:tcPr>
          <w:p w14:paraId="07181AFF" w14:textId="77777777" w:rsidR="00A64CB1" w:rsidRDefault="00000000" w:rsidP="00D84342">
            <w:r>
              <w:t>$31 million</w:t>
            </w:r>
          </w:p>
        </w:tc>
        <w:tc>
          <w:tcPr>
            <w:tcW w:w="2376" w:type="dxa"/>
            <w:shd w:val="clear" w:color="auto" w:fill="EEF3F6"/>
            <w:vAlign w:val="center"/>
          </w:tcPr>
          <w:p w14:paraId="42D05C1D" w14:textId="77777777" w:rsidR="00A64CB1" w:rsidRDefault="00000000" w:rsidP="00D84342">
            <w:r>
              <w:t>$31 million</w:t>
            </w:r>
          </w:p>
        </w:tc>
        <w:tc>
          <w:tcPr>
            <w:tcW w:w="2376" w:type="dxa"/>
            <w:shd w:val="clear" w:color="auto" w:fill="EEF3F6"/>
            <w:vAlign w:val="center"/>
          </w:tcPr>
          <w:p w14:paraId="4E6A9635" w14:textId="77777777" w:rsidR="00A64CB1" w:rsidRDefault="00000000" w:rsidP="00D84342">
            <w:r>
              <w:t>$31 million</w:t>
            </w:r>
          </w:p>
        </w:tc>
      </w:tr>
      <w:tr w:rsidR="00A64CB1" w14:paraId="54F4AEC9" w14:textId="77777777">
        <w:trPr>
          <w:jc w:val="center"/>
        </w:trPr>
        <w:tc>
          <w:tcPr>
            <w:tcW w:w="3312" w:type="dxa"/>
            <w:vAlign w:val="center"/>
          </w:tcPr>
          <w:p w14:paraId="341CB02B" w14:textId="77777777" w:rsidR="00A64CB1" w:rsidRDefault="00000000" w:rsidP="00D84342">
            <w:r>
              <w:t>Manufacturing reservation</w:t>
            </w:r>
          </w:p>
        </w:tc>
        <w:tc>
          <w:tcPr>
            <w:tcW w:w="2304" w:type="dxa"/>
            <w:vAlign w:val="center"/>
          </w:tcPr>
          <w:p w14:paraId="4B9F2D60" w14:textId="77777777" w:rsidR="00A64CB1" w:rsidRDefault="00000000" w:rsidP="00D84342">
            <w:r>
              <w:t>$0</w:t>
            </w:r>
          </w:p>
        </w:tc>
        <w:tc>
          <w:tcPr>
            <w:tcW w:w="2376" w:type="dxa"/>
            <w:vAlign w:val="center"/>
          </w:tcPr>
          <w:p w14:paraId="349C87DA" w14:textId="77777777" w:rsidR="00A64CB1" w:rsidRDefault="00000000" w:rsidP="00D84342">
            <w:r>
              <w:t>$14 million</w:t>
            </w:r>
          </w:p>
        </w:tc>
        <w:tc>
          <w:tcPr>
            <w:tcW w:w="2376" w:type="dxa"/>
            <w:vAlign w:val="center"/>
          </w:tcPr>
          <w:p w14:paraId="74149713" w14:textId="77777777" w:rsidR="00A64CB1" w:rsidRDefault="00000000" w:rsidP="00D84342">
            <w:r>
              <w:t>$14 million</w:t>
            </w:r>
          </w:p>
        </w:tc>
      </w:tr>
      <w:tr w:rsidR="00A64CB1" w14:paraId="6927F7A4" w14:textId="77777777">
        <w:trPr>
          <w:jc w:val="center"/>
        </w:trPr>
        <w:tc>
          <w:tcPr>
            <w:tcW w:w="3312" w:type="dxa"/>
            <w:shd w:val="clear" w:color="auto" w:fill="EEF3F6"/>
            <w:vAlign w:val="center"/>
          </w:tcPr>
          <w:p w14:paraId="49E22AAA" w14:textId="77777777" w:rsidR="00A64CB1" w:rsidRDefault="00000000" w:rsidP="00D84342">
            <w:r>
              <w:t>Projected ending cash</w:t>
            </w:r>
          </w:p>
        </w:tc>
        <w:tc>
          <w:tcPr>
            <w:tcW w:w="2304" w:type="dxa"/>
            <w:shd w:val="clear" w:color="auto" w:fill="EEF3F6"/>
            <w:vAlign w:val="center"/>
          </w:tcPr>
          <w:p w14:paraId="048B86D7" w14:textId="77777777" w:rsidR="00A64CB1" w:rsidRDefault="00000000" w:rsidP="00D84342">
            <w:r>
              <w:t>$71 million</w:t>
            </w:r>
          </w:p>
        </w:tc>
        <w:tc>
          <w:tcPr>
            <w:tcW w:w="2376" w:type="dxa"/>
            <w:shd w:val="clear" w:color="auto" w:fill="EEF3F6"/>
            <w:vAlign w:val="center"/>
          </w:tcPr>
          <w:p w14:paraId="77C099BA" w14:textId="77777777" w:rsidR="00A64CB1" w:rsidRDefault="00000000" w:rsidP="00D84342">
            <w:r>
              <w:t>$34 million</w:t>
            </w:r>
          </w:p>
        </w:tc>
        <w:tc>
          <w:tcPr>
            <w:tcW w:w="2376" w:type="dxa"/>
            <w:shd w:val="clear" w:color="auto" w:fill="EEF3F6"/>
            <w:vAlign w:val="center"/>
          </w:tcPr>
          <w:p w14:paraId="32D67A8B" w14:textId="77777777" w:rsidR="00A64CB1" w:rsidRDefault="00000000" w:rsidP="00D84342">
            <w:r>
              <w:t>$19 million</w:t>
            </w:r>
          </w:p>
        </w:tc>
      </w:tr>
    </w:tbl>
    <w:p w14:paraId="3D5443EB" w14:textId="77777777" w:rsidR="00A64CB1" w:rsidRDefault="00A64CB1" w:rsidP="00D84342"/>
    <w:p w14:paraId="748615C2" w14:textId="58CF582D" w:rsidR="00A64CB1" w:rsidRDefault="00000000" w:rsidP="00D84342">
      <w:pPr>
        <w:pStyle w:val="Heading1"/>
      </w:pPr>
      <w:r>
        <w:t>The Wednesday Board Meeting</w:t>
      </w:r>
    </w:p>
    <w:p w14:paraId="56FD981B" w14:textId="77777777" w:rsidR="00A64CB1" w:rsidRDefault="00000000" w:rsidP="00D84342">
      <w:r>
        <w:t>By Wednesday afternoon, Marquez had received three new pieces of information. One community site reported two additional liver-enzyme elevations, neither yet classified as serious. The laboratory vendor said it could validate an improved biomarker assay in five months, but only if Crestline committed $4.2 million immediately. A competitor announced that its Phase III trial would enroll 620 patients and use hospitalization-free survival rather than lung function as the primary endpoint.</w:t>
      </w:r>
    </w:p>
    <w:p w14:paraId="59C11B8C" w14:textId="77777777" w:rsidR="00A64CB1" w:rsidRDefault="00000000" w:rsidP="00D84342">
      <w:r>
        <w:t>The competitor’s announcement could mean that physicians and hospitals would have even less capacity for Crestline’s trial. It could also validate investor interest in the disease. No one knew whether the competing treatment would prove safer or more effective, whether it would reach the market first, or whether its trial design would influence regulators’ expectations for CLN-47.</w:t>
      </w:r>
    </w:p>
    <w:p w14:paraId="604ABE99" w14:textId="77777777" w:rsidR="00A64CB1" w:rsidRDefault="00000000" w:rsidP="00D84342">
      <w:r>
        <w:t>Marquez had to recommend a path that evening. The board would want to know whether the current evidence justified continued exposure of patients and capital, what additional information would materially change the decision, and how quickly that information could be obtained. It would also ask whether Crestline should preserve a broad treatment ambition, focus on the patients who appeared most likely to benefit, seek a partner, or direct its remaining resources elsewhere.</w:t>
      </w:r>
    </w:p>
    <w:p w14:paraId="2E7ECD46" w14:textId="77777777" w:rsidR="00A64CB1" w:rsidRDefault="00000000" w:rsidP="00D84342">
      <w:r>
        <w:t>No option protected every objective. Expanding the study could reveal a clinically important treatment, but might consume the company’s cash before the result was known. Starting Phase III planning could preserve time and manufacturing capacity, but magnify the consequences of a mistaken interpretation. Pausing could allow the assay and regulatory strategy to mature, but sites, patients, employees, and investors might not wait. Termination would provide financial clarity while closing off the possibility that the uneven data contained a real therapeutic signal.</w:t>
      </w:r>
    </w:p>
    <w:p w14:paraId="7B83908C" w14:textId="77777777" w:rsidR="005226BF" w:rsidRDefault="005226BF" w:rsidP="005226BF">
      <w:pPr>
        <w:pStyle w:val="Heading1"/>
      </w:pPr>
      <w:r>
        <w:t>Framing questions</w:t>
      </w:r>
    </w:p>
    <w:p w14:paraId="014D51F6" w14:textId="77777777" w:rsidR="005226BF" w:rsidRDefault="005226BF" w:rsidP="005226BF">
      <w:pPr>
        <w:pStyle w:val="ListParagraph"/>
        <w:numPr>
          <w:ilvl w:val="0"/>
          <w:numId w:val="11"/>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0E4DF634" w14:textId="77777777" w:rsidR="005226BF" w:rsidRDefault="005226BF" w:rsidP="005226BF">
      <w:pPr>
        <w:pStyle w:val="ListParagraph"/>
        <w:numPr>
          <w:ilvl w:val="0"/>
          <w:numId w:val="11"/>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5FEAE655" w14:textId="77777777" w:rsidR="005226BF" w:rsidRDefault="005226BF" w:rsidP="005226BF">
      <w:pPr>
        <w:pStyle w:val="ListParagraph"/>
        <w:numPr>
          <w:ilvl w:val="0"/>
          <w:numId w:val="11"/>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51932E1F" w14:textId="77777777" w:rsidR="005226BF" w:rsidRDefault="005226BF" w:rsidP="005226BF">
      <w:pPr>
        <w:pStyle w:val="ListParagraph"/>
        <w:numPr>
          <w:ilvl w:val="0"/>
          <w:numId w:val="11"/>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165D3853" w14:textId="77777777" w:rsidR="005226BF" w:rsidRDefault="005226BF" w:rsidP="005226BF">
      <w:pPr>
        <w:pStyle w:val="ListParagraph"/>
        <w:numPr>
          <w:ilvl w:val="0"/>
          <w:numId w:val="11"/>
        </w:numPr>
      </w:pPr>
      <w:r>
        <w:t>Repeat the exercise in (3), but this time using uncertainties instead of decisions.</w:t>
      </w:r>
    </w:p>
    <w:p w14:paraId="1146928F" w14:textId="77777777" w:rsidR="005226BF" w:rsidRDefault="005226BF" w:rsidP="005226BF">
      <w:pPr>
        <w:pStyle w:val="ListParagraph"/>
        <w:numPr>
          <w:ilvl w:val="1"/>
          <w:numId w:val="11"/>
        </w:numPr>
      </w:pPr>
      <w:r>
        <w:t>Which sources of uncertainty would be captured using average performance over time?</w:t>
      </w:r>
    </w:p>
    <w:p w14:paraId="5B713996" w14:textId="77777777" w:rsidR="005226BF" w:rsidRDefault="005226BF" w:rsidP="005226BF">
      <w:pPr>
        <w:pStyle w:val="ListParagraph"/>
        <w:numPr>
          <w:ilvl w:val="1"/>
          <w:numId w:val="11"/>
        </w:numPr>
      </w:pPr>
      <w:r>
        <w:t>Which sources of uncertainty represent forms of risk that are not properly captured using averages?</w:t>
      </w:r>
    </w:p>
    <w:p w14:paraId="21BB0DD4" w14:textId="77777777" w:rsidR="005226BF" w:rsidRDefault="005226BF" w:rsidP="005226BF">
      <w:pPr>
        <w:pStyle w:val="ListParagraph"/>
        <w:numPr>
          <w:ilvl w:val="0"/>
          <w:numId w:val="11"/>
        </w:numPr>
      </w:pPr>
      <w:r>
        <w:t xml:space="preserve">Choose the single decision that seems to have the highest impact on the most important metric.  </w:t>
      </w:r>
    </w:p>
    <w:p w14:paraId="200E4BCB" w14:textId="77777777" w:rsidR="005226BF" w:rsidRDefault="005226BF" w:rsidP="005226BF">
      <w:pPr>
        <w:pStyle w:val="ListParagraph"/>
        <w:numPr>
          <w:ilvl w:val="1"/>
          <w:numId w:val="11"/>
        </w:numPr>
      </w:pPr>
      <w:r>
        <w:t>What approach do you think you would use to make this decision?</w:t>
      </w:r>
    </w:p>
    <w:p w14:paraId="5F7E730D" w14:textId="77777777" w:rsidR="005226BF" w:rsidRDefault="005226BF" w:rsidP="005226BF">
      <w:pPr>
        <w:pStyle w:val="ListParagraph"/>
        <w:numPr>
          <w:ilvl w:val="1"/>
          <w:numId w:val="11"/>
        </w:numPr>
      </w:pPr>
      <w:r>
        <w:t>What data appears to be necessary to make this decision, including the calculation of any performance metrics where the decision would have a high or medium impact.</w:t>
      </w:r>
    </w:p>
    <w:p w14:paraId="11109E6E" w14:textId="77777777" w:rsidR="005226BF" w:rsidRDefault="005226BF" w:rsidP="005226BF">
      <w:pPr>
        <w:pStyle w:val="ListParagraph"/>
        <w:numPr>
          <w:ilvl w:val="0"/>
          <w:numId w:val="11"/>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5195BA2A" w14:textId="77777777" w:rsidR="00A64CB1" w:rsidRDefault="00000000" w:rsidP="00D84342">
      <w:pPr>
        <w:pStyle w:val="Heading1"/>
      </w:pPr>
      <w:r>
        <w:t>Discussion Questions</w:t>
      </w:r>
    </w:p>
    <w:p w14:paraId="7813BEE3" w14:textId="458B0ADC" w:rsidR="00A64CB1" w:rsidRDefault="00000000" w:rsidP="005226BF">
      <w:pPr>
        <w:pStyle w:val="ListParagraph"/>
        <w:numPr>
          <w:ilvl w:val="0"/>
          <w:numId w:val="13"/>
        </w:numPr>
      </w:pPr>
      <w:r>
        <w:t>What is the central problem facing Marquez and Crestline Biotherapeutics?</w:t>
      </w:r>
    </w:p>
    <w:p w14:paraId="288EFE4E" w14:textId="1095AA53" w:rsidR="00A64CB1" w:rsidRDefault="00000000" w:rsidP="005226BF">
      <w:pPr>
        <w:pStyle w:val="ListParagraph"/>
        <w:numPr>
          <w:ilvl w:val="0"/>
          <w:numId w:val="13"/>
        </w:numPr>
      </w:pPr>
      <w:r>
        <w:lastRenderedPageBreak/>
        <w:t>How should the company interpret the average trial result and the stronger response in the biomarker-positive subgroup?</w:t>
      </w:r>
    </w:p>
    <w:p w14:paraId="10BEC949" w14:textId="42EB1CB9" w:rsidR="00A64CB1" w:rsidRDefault="00000000" w:rsidP="005226BF">
      <w:pPr>
        <w:pStyle w:val="ListParagraph"/>
        <w:numPr>
          <w:ilvl w:val="0"/>
          <w:numId w:val="13"/>
        </w:numPr>
      </w:pPr>
      <w:r>
        <w:t>Which additional information would be most valuable before committing to another large study?</w:t>
      </w:r>
    </w:p>
    <w:p w14:paraId="023CABEC" w14:textId="1EB445B2" w:rsidR="00A64CB1" w:rsidRDefault="00000000" w:rsidP="005226BF">
      <w:pPr>
        <w:pStyle w:val="ListParagraph"/>
        <w:numPr>
          <w:ilvl w:val="0"/>
          <w:numId w:val="13"/>
        </w:numPr>
      </w:pPr>
      <w:r>
        <w:t>Should Crestline complete the original Phase II protocol, redesign it, or move toward Phase III? Why?</w:t>
      </w:r>
    </w:p>
    <w:p w14:paraId="6C9C2B43" w14:textId="53375C57" w:rsidR="00A64CB1" w:rsidRDefault="00000000" w:rsidP="005226BF">
      <w:pPr>
        <w:pStyle w:val="ListParagraph"/>
        <w:numPr>
          <w:ilvl w:val="0"/>
          <w:numId w:val="13"/>
        </w:numPr>
      </w:pPr>
      <w:r>
        <w:t>How should patient safety concerns be balanced against the unmet need and the possibility of benefit?</w:t>
      </w:r>
    </w:p>
    <w:p w14:paraId="3E34A1D4" w14:textId="2C83759F" w:rsidR="00A64CB1" w:rsidRDefault="00000000" w:rsidP="005226BF">
      <w:pPr>
        <w:pStyle w:val="ListParagraph"/>
        <w:numPr>
          <w:ilvl w:val="0"/>
          <w:numId w:val="13"/>
        </w:numPr>
      </w:pPr>
      <w:r>
        <w:t>What changes to site selection, patient recruitment, visit design, and reimbursement might improve enrollment without weakening data quality?</w:t>
      </w:r>
    </w:p>
    <w:p w14:paraId="04310F92" w14:textId="7DB8BE25" w:rsidR="00A64CB1" w:rsidRDefault="00000000" w:rsidP="005226BF">
      <w:pPr>
        <w:pStyle w:val="ListParagraph"/>
        <w:numPr>
          <w:ilvl w:val="0"/>
          <w:numId w:val="13"/>
        </w:numPr>
      </w:pPr>
      <w:r>
        <w:t xml:space="preserve">Should Crestline </w:t>
      </w:r>
      <w:proofErr w:type="gramStart"/>
      <w:r>
        <w:t>reserve</w:t>
      </w:r>
      <w:proofErr w:type="gramEnd"/>
      <w:r>
        <w:t xml:space="preserve"> manufacturing capacity before it has resolved the clinical questions?</w:t>
      </w:r>
    </w:p>
    <w:p w14:paraId="692F0770" w14:textId="769B93CA" w:rsidR="00A64CB1" w:rsidRDefault="00000000" w:rsidP="005226BF">
      <w:pPr>
        <w:pStyle w:val="ListParagraph"/>
        <w:numPr>
          <w:ilvl w:val="0"/>
          <w:numId w:val="13"/>
        </w:numPr>
      </w:pPr>
      <w:r>
        <w:t>How should patent life, competitor activity, physician acceptance, pricing, and manufacturing requirements affect the development decision?</w:t>
      </w:r>
    </w:p>
    <w:p w14:paraId="4C3D44C1" w14:textId="778F0345" w:rsidR="00A64CB1" w:rsidRDefault="00000000" w:rsidP="005226BF">
      <w:pPr>
        <w:pStyle w:val="ListParagraph"/>
        <w:numPr>
          <w:ilvl w:val="0"/>
          <w:numId w:val="13"/>
        </w:numPr>
      </w:pPr>
      <w:r>
        <w:t>Would a partnership improve the program, or would it transfer too much future value and control?</w:t>
      </w:r>
    </w:p>
    <w:p w14:paraId="65837D9F" w14:textId="5AC11A03" w:rsidR="00A64CB1" w:rsidRDefault="00000000" w:rsidP="005226BF">
      <w:pPr>
        <w:pStyle w:val="ListParagraph"/>
        <w:numPr>
          <w:ilvl w:val="0"/>
          <w:numId w:val="13"/>
        </w:numPr>
      </w:pPr>
      <w:r>
        <w:t>Under what future findings should Crestline continue, narrow, pause, or terminate CLN-47?</w:t>
      </w:r>
    </w:p>
    <w:p w14:paraId="007730FB" w14:textId="77777777" w:rsidR="00A64CB1" w:rsidRDefault="00000000" w:rsidP="00D84342">
      <w:pPr>
        <w:pStyle w:val="Heading1"/>
      </w:pPr>
      <w:r>
        <w:t>Source Note</w:t>
      </w:r>
    </w:p>
    <w:p w14:paraId="779EB617" w14:textId="77777777" w:rsidR="00A64CB1" w:rsidRDefault="00000000" w:rsidP="00D84342">
      <w:r>
        <w:t>The conceptual foundation for this case is the “Running clinical trials for drug testing” section of Warren B. Powell, Bridging Decision Problems, Volume I: Framing the Problem, Chapter 2. The case embeds the section’s clinical, financial, operational, regulatory, manufacturing, marketing, and competitive considerations in the narrative and exhibits without identifying them as separate analytical categories.</w:t>
      </w:r>
    </w:p>
    <w:p w14:paraId="1EBC974E" w14:textId="77777777" w:rsidR="00A64CB1" w:rsidRDefault="00000000" w:rsidP="00D84342">
      <w:r>
        <w:t>Public information used to motivate the setting includes FDA descriptions of Phase III trials as commonly involving approximately 300 to 3,000 participants and supplying much of the safety evidence used for review; published research reporting that enrollment delays are widespread, that completed trials in one large analysis had a median delay of 12.2 months, and that 21.5 percent of trials in that sample were discontinued; a 2025 analysis estimating an average probability of first approval of 14.3 percent among major research-based pharmaceutical companies; and industry estimates that development of a new medicine commonly takes 10 to 15 years and costs approximately $2.6 billion when unsuccessful programs are included. Estimates differ by therapeutic area, study design, sponsor, and methodology. All Crestline data, people, compounds, results, budgets, and events are fictional.</w:t>
      </w:r>
    </w:p>
    <w:p w14:paraId="2F12E2E2" w14:textId="7F266622" w:rsidR="00D84342" w:rsidRDefault="00D84342" w:rsidP="00D84342">
      <w:pPr>
        <w:pStyle w:val="Heading1"/>
      </w:pPr>
      <w:r>
        <w:t>ChatGPT notes</w:t>
      </w:r>
    </w:p>
    <w:p w14:paraId="67ECD070" w14:textId="35B752BA" w:rsidR="00D84342" w:rsidRDefault="00D84342" w:rsidP="00D84342">
      <w:pPr>
        <w:pStyle w:val="Heading2"/>
      </w:pPr>
      <w:r>
        <w:t>Prompt</w:t>
      </w:r>
    </w:p>
    <w:p w14:paraId="49BAB659" w14:textId="05338124" w:rsidR="00D84342" w:rsidRDefault="00D84342" w:rsidP="00D84342">
      <w:r w:rsidRPr="00D84342">
        <w:t xml:space="preserve">Write a </w:t>
      </w:r>
      <w:proofErr w:type="gramStart"/>
      <w:r w:rsidRPr="00D84342">
        <w:t>4-6 page</w:t>
      </w:r>
      <w:proofErr w:type="gramEnd"/>
      <w:r w:rsidRPr="00D84342">
        <w:t xml:space="preserve"> case study based on the material in the section at https://warrenpowell.org/bridging-vol1/chapter-2/#clinicaltrials. Create a context based on the metrics, decisions and uncertainties in the section, but without explicitly calling attention to them. motivate your case problem with data.</w:t>
      </w:r>
    </w:p>
    <w:p w14:paraId="20E32073" w14:textId="45770EEC" w:rsidR="00D84342" w:rsidRDefault="00D84342" w:rsidP="00D84342">
      <w:pPr>
        <w:pStyle w:val="Heading2"/>
      </w:pPr>
      <w:r>
        <w:t>Summary</w:t>
      </w:r>
    </w:p>
    <w:p w14:paraId="61BD2F6C" w14:textId="77777777" w:rsidR="00D84342" w:rsidRPr="00D84342" w:rsidRDefault="00D84342" w:rsidP="00D84342">
      <w:r w:rsidRPr="00D84342">
        <w:t>The case follows a biotechnology company deciding whether to expand, redesign, pause, advance, or terminate a Phase II trial after receiving promising but inconclusive results. It incorporates:</w:t>
      </w:r>
    </w:p>
    <w:p w14:paraId="31D126CA" w14:textId="77777777" w:rsidR="00D84342" w:rsidRPr="00D84342" w:rsidRDefault="00D84342" w:rsidP="00D84342">
      <w:pPr>
        <w:numPr>
          <w:ilvl w:val="0"/>
          <w:numId w:val="10"/>
        </w:numPr>
      </w:pPr>
      <w:r w:rsidRPr="00D84342">
        <w:t xml:space="preserve">Patient recruitment and trial-site selection </w:t>
      </w:r>
    </w:p>
    <w:p w14:paraId="3FC9E415" w14:textId="77777777" w:rsidR="00D84342" w:rsidRPr="00D84342" w:rsidRDefault="00D84342" w:rsidP="00D84342">
      <w:pPr>
        <w:numPr>
          <w:ilvl w:val="0"/>
          <w:numId w:val="10"/>
        </w:numPr>
      </w:pPr>
      <w:r w:rsidRPr="00D84342">
        <w:t xml:space="preserve">Treatment effectiveness and subgroup response </w:t>
      </w:r>
    </w:p>
    <w:p w14:paraId="3F3FC528" w14:textId="77777777" w:rsidR="00D84342" w:rsidRPr="00D84342" w:rsidRDefault="00D84342" w:rsidP="00D84342">
      <w:pPr>
        <w:numPr>
          <w:ilvl w:val="0"/>
          <w:numId w:val="10"/>
        </w:numPr>
      </w:pPr>
      <w:r w:rsidRPr="00D84342">
        <w:t xml:space="preserve">Safety signals and dose selection </w:t>
      </w:r>
    </w:p>
    <w:p w14:paraId="0C7B6CF8" w14:textId="77777777" w:rsidR="00D84342" w:rsidRPr="00D84342" w:rsidRDefault="00D84342" w:rsidP="00D84342">
      <w:pPr>
        <w:numPr>
          <w:ilvl w:val="0"/>
          <w:numId w:val="10"/>
        </w:numPr>
      </w:pPr>
      <w:r w:rsidRPr="00D84342">
        <w:t xml:space="preserve">Regulatory requirements </w:t>
      </w:r>
    </w:p>
    <w:p w14:paraId="76102CF9" w14:textId="77777777" w:rsidR="00D84342" w:rsidRPr="00D84342" w:rsidRDefault="00D84342" w:rsidP="00D84342">
      <w:pPr>
        <w:numPr>
          <w:ilvl w:val="0"/>
          <w:numId w:val="10"/>
        </w:numPr>
      </w:pPr>
      <w:r w:rsidRPr="00D84342">
        <w:t xml:space="preserve">Manufacturing capacity and refrigeration needs </w:t>
      </w:r>
    </w:p>
    <w:p w14:paraId="659A4637" w14:textId="77777777" w:rsidR="00D84342" w:rsidRPr="00D84342" w:rsidRDefault="00D84342" w:rsidP="00D84342">
      <w:pPr>
        <w:numPr>
          <w:ilvl w:val="0"/>
          <w:numId w:val="10"/>
        </w:numPr>
      </w:pPr>
      <w:r w:rsidRPr="00D84342">
        <w:t xml:space="preserve">Patent-life pressure </w:t>
      </w:r>
    </w:p>
    <w:p w14:paraId="6A848C43" w14:textId="77777777" w:rsidR="00D84342" w:rsidRPr="00D84342" w:rsidRDefault="00D84342" w:rsidP="00D84342">
      <w:pPr>
        <w:numPr>
          <w:ilvl w:val="0"/>
          <w:numId w:val="10"/>
        </w:numPr>
      </w:pPr>
      <w:r w:rsidRPr="00D84342">
        <w:t xml:space="preserve">Competitor activity </w:t>
      </w:r>
    </w:p>
    <w:p w14:paraId="7A05CFD6" w14:textId="77777777" w:rsidR="00D84342" w:rsidRPr="00D84342" w:rsidRDefault="00D84342" w:rsidP="00D84342">
      <w:pPr>
        <w:numPr>
          <w:ilvl w:val="0"/>
          <w:numId w:val="10"/>
        </w:numPr>
      </w:pPr>
      <w:r w:rsidRPr="00D84342">
        <w:t xml:space="preserve">Physician acceptance, pricing, and commercial potential </w:t>
      </w:r>
    </w:p>
    <w:p w14:paraId="4C033B5A" w14:textId="77777777" w:rsidR="00D84342" w:rsidRPr="00D84342" w:rsidRDefault="00D84342" w:rsidP="00D84342">
      <w:pPr>
        <w:numPr>
          <w:ilvl w:val="0"/>
          <w:numId w:val="10"/>
        </w:numPr>
      </w:pPr>
      <w:r w:rsidRPr="00D84342">
        <w:t xml:space="preserve">Capital constraints and partnership alternatives </w:t>
      </w:r>
    </w:p>
    <w:p w14:paraId="3308DA37" w14:textId="77777777" w:rsidR="00D84342" w:rsidRPr="00D84342" w:rsidRDefault="00D84342" w:rsidP="00D84342">
      <w:pPr>
        <w:numPr>
          <w:ilvl w:val="0"/>
          <w:numId w:val="10"/>
        </w:numPr>
      </w:pPr>
      <w:r w:rsidRPr="00D84342">
        <w:lastRenderedPageBreak/>
        <w:t xml:space="preserve">Five quantitative exhibits and ten discussion questions </w:t>
      </w:r>
    </w:p>
    <w:p w14:paraId="75A846BF" w14:textId="77777777" w:rsidR="00D84342" w:rsidRPr="00D84342" w:rsidRDefault="00D84342" w:rsidP="00D84342">
      <w:r w:rsidRPr="00D84342">
        <w:t>The setting is motivated by FDA guidance that Phase III studies often involve roughly 300–3,000 participants, published evidence that completed trials may experience median delays of about 12 months, and research estimating that only a minority of compounds entering human trials eventually gain approval.</w:t>
      </w:r>
    </w:p>
    <w:p w14:paraId="05AC5190" w14:textId="77777777" w:rsidR="00D84342" w:rsidRPr="00D84342" w:rsidRDefault="00D84342" w:rsidP="00D84342"/>
    <w:sectPr w:rsidR="00D84342" w:rsidRPr="00D84342"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595A" w14:textId="77777777" w:rsidR="00D35278" w:rsidRDefault="00D35278" w:rsidP="00D84342">
      <w:r>
        <w:separator/>
      </w:r>
    </w:p>
  </w:endnote>
  <w:endnote w:type="continuationSeparator" w:id="0">
    <w:p w14:paraId="71FB8C27" w14:textId="77777777" w:rsidR="00D35278" w:rsidRDefault="00D35278" w:rsidP="00D8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C83F" w14:textId="77777777" w:rsidR="00A64CB1" w:rsidRDefault="00000000" w:rsidP="00D84342">
    <w:r>
      <w:fldChar w:fldCharType="begin"/>
    </w:r>
    <w:r>
      <w:instrText>PAGE</w:instrText>
    </w:r>
    <w:r>
      <w:fldChar w:fldCharType="separate"/>
    </w:r>
    <w:r w:rsidR="00D843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2907C" w14:textId="77777777" w:rsidR="00D35278" w:rsidRDefault="00D35278" w:rsidP="00D84342">
      <w:r>
        <w:separator/>
      </w:r>
    </w:p>
  </w:footnote>
  <w:footnote w:type="continuationSeparator" w:id="0">
    <w:p w14:paraId="72CF5231" w14:textId="77777777" w:rsidR="00D35278" w:rsidRDefault="00D35278" w:rsidP="00D84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ACF" w14:textId="77777777" w:rsidR="00A64CB1" w:rsidRPr="00D84342" w:rsidRDefault="00000000" w:rsidP="00D84342">
    <w:pPr>
      <w:jc w:val="right"/>
      <w:rPr>
        <w:color w:val="A6A6A6" w:themeColor="background1" w:themeShade="A6"/>
        <w:sz w:val="15"/>
        <w:szCs w:val="15"/>
      </w:rPr>
    </w:pPr>
    <w:r w:rsidRPr="00D84342">
      <w:rPr>
        <w:color w:val="A6A6A6" w:themeColor="background1" w:themeShade="A6"/>
        <w:sz w:val="15"/>
        <w:szCs w:val="15"/>
      </w:rPr>
      <w:t>CRESTLINE BIOTHERAPEUTICS — CLINICAL TRIAL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366E4D"/>
    <w:multiLevelType w:val="hybridMultilevel"/>
    <w:tmpl w:val="52E20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922D20"/>
    <w:multiLevelType w:val="multilevel"/>
    <w:tmpl w:val="AD86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670BE6"/>
    <w:multiLevelType w:val="hybridMultilevel"/>
    <w:tmpl w:val="314A4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34029">
    <w:abstractNumId w:val="8"/>
  </w:num>
  <w:num w:numId="2" w16cid:durableId="229535051">
    <w:abstractNumId w:val="6"/>
  </w:num>
  <w:num w:numId="3" w16cid:durableId="752052395">
    <w:abstractNumId w:val="5"/>
  </w:num>
  <w:num w:numId="4" w16cid:durableId="1349477951">
    <w:abstractNumId w:val="4"/>
  </w:num>
  <w:num w:numId="5" w16cid:durableId="1695643669">
    <w:abstractNumId w:val="7"/>
  </w:num>
  <w:num w:numId="6" w16cid:durableId="1190870220">
    <w:abstractNumId w:val="3"/>
  </w:num>
  <w:num w:numId="7" w16cid:durableId="21395941">
    <w:abstractNumId w:val="2"/>
  </w:num>
  <w:num w:numId="8" w16cid:durableId="805047027">
    <w:abstractNumId w:val="1"/>
  </w:num>
  <w:num w:numId="9" w16cid:durableId="1968733036">
    <w:abstractNumId w:val="0"/>
  </w:num>
  <w:num w:numId="10" w16cid:durableId="1354310035">
    <w:abstractNumId w:val="10"/>
  </w:num>
  <w:num w:numId="11" w16cid:durableId="1268582022">
    <w:abstractNumId w:val="11"/>
  </w:num>
  <w:num w:numId="12" w16cid:durableId="1804495586">
    <w:abstractNumId w:val="12"/>
  </w:num>
  <w:num w:numId="13" w16cid:durableId="1626427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6A3"/>
    <w:rsid w:val="0015074B"/>
    <w:rsid w:val="0029639D"/>
    <w:rsid w:val="00326F90"/>
    <w:rsid w:val="005226BF"/>
    <w:rsid w:val="00806CF1"/>
    <w:rsid w:val="008852B7"/>
    <w:rsid w:val="00A64CB1"/>
    <w:rsid w:val="00AA1D8D"/>
    <w:rsid w:val="00B47730"/>
    <w:rsid w:val="00CB0664"/>
    <w:rsid w:val="00D35278"/>
    <w:rsid w:val="00D84342"/>
    <w:rsid w:val="00E07173"/>
    <w:rsid w:val="00E758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0BB80"/>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342"/>
    <w:pPr>
      <w:spacing w:after="80" w:line="247" w:lineRule="auto"/>
    </w:pPr>
    <w:rPr>
      <w:rFonts w:ascii="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sid w:val="005226BF"/>
    <w:rPr>
      <w:rFonts w:ascii="Aptos Display" w:eastAsia="Aptos Display" w:hAnsi="Aptos Display"/>
      <w:b/>
      <w:color w:val="284B63"/>
      <w:sz w:val="48"/>
    </w:rPr>
  </w:style>
  <w:style w:type="paragraph" w:customStyle="1" w:styleId="CaseSubtitle">
    <w:name w:val="Case Subtitle"/>
    <w:basedOn w:val="Normal"/>
    <w:rsid w:val="005226BF"/>
    <w:rPr>
      <w:rFonts w:ascii="Aptos Display" w:eastAsia="Aptos Display" w:hAnsi="Aptos Display"/>
      <w:b/>
      <w:color w:val="3C6E71"/>
      <w:sz w:val="36"/>
    </w:rPr>
  </w:style>
  <w:style w:type="paragraph" w:customStyle="1" w:styleId="CaseDeck">
    <w:name w:val="Case Deck"/>
    <w:basedOn w:val="Normal"/>
    <w:rsid w:val="005226BF"/>
    <w:rPr>
      <w:rFonts w:eastAsia="Aptos"/>
      <w:i/>
      <w:sz w:val="21"/>
    </w:rPr>
  </w:style>
  <w:style w:type="paragraph" w:customStyle="1" w:styleId="CaseDisclaimer">
    <w:name w:val="Case Disclaimer"/>
    <w:basedOn w:val="Normal"/>
    <w:rsid w:val="005226BF"/>
    <w:rPr>
      <w:rFonts w:eastAsia="Aptos"/>
      <w:color w:val="646464"/>
      <w:sz w:val="16"/>
    </w:rPr>
  </w:style>
  <w:style w:type="paragraph" w:customStyle="1" w:styleId="CaseSpacer">
    <w:name w:val="Case Spacer"/>
    <w:basedOn w:val="Normal"/>
    <w:rsid w:val="005226BF"/>
    <w:rPr>
      <w:rFonts w:eastAsia="Aptos"/>
      <w:sz w:val="18"/>
    </w:rPr>
  </w:style>
  <w:style w:type="character" w:styleId="Hyperlink">
    <w:name w:val="Hyperlink"/>
    <w:basedOn w:val="DefaultParagraphFont"/>
    <w:uiPriority w:val="99"/>
    <w:unhideWhenUsed/>
    <w:rsid w:val="005226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2939</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Crestline Biotherapeutics: The Week 28 Decision</dc:title>
  <dc:subject>Business case study on clinical trial planning</dc:subject>
  <dc:creator>OpenAI</dc:creator>
  <cp:keywords/>
  <dc:description>generated by python-docx</dc:description>
  <cp:lastModifiedBy>Warren Powell</cp:lastModifiedBy>
  <cp:revision>4</cp:revision>
  <dcterms:created xsi:type="dcterms:W3CDTF">2026-07-30T21:09:00Z</dcterms:created>
  <dcterms:modified xsi:type="dcterms:W3CDTF">2026-07-30T21:18:00Z</dcterms:modified>
  <cp:category/>
</cp:coreProperties>
</file>