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641FC" w14:textId="77777777" w:rsidR="00DE6309" w:rsidRDefault="00DE6309" w:rsidP="00160610">
      <w:pPr>
        <w:rPr>
          <w:b/>
          <w:bCs/>
        </w:rPr>
      </w:pPr>
    </w:p>
    <w:p w14:paraId="264D148F" w14:textId="576CBDCB" w:rsidR="00DE6309" w:rsidRDefault="00DE6309" w:rsidP="00DE6309">
      <w:pPr>
        <w:pStyle w:val="CaseTitle"/>
      </w:pPr>
      <w:r>
        <w:t>Blue River System Operator</w:t>
      </w:r>
    </w:p>
    <w:p w14:paraId="761A7BD3" w14:textId="2BF6DAF7" w:rsidR="00DE6309" w:rsidRDefault="00DE6309" w:rsidP="00DE6309">
      <w:pPr>
        <w:pStyle w:val="CaseSubtitle"/>
      </w:pPr>
      <w:r>
        <w:t xml:space="preserve">The </w:t>
      </w:r>
      <w:r>
        <w:t>6:00 p.m. reliability decision</w:t>
      </w:r>
    </w:p>
    <w:p w14:paraId="710D5199" w14:textId="77777777" w:rsidR="00DE6309" w:rsidRDefault="00DE6309" w:rsidP="00DE6309">
      <w:pPr>
        <w:pStyle w:val="CaseSpacer"/>
      </w:pPr>
    </w:p>
    <w:p w14:paraId="270055D7" w14:textId="77777777" w:rsidR="00DE6309" w:rsidRDefault="00DE6309" w:rsidP="00DE6309">
      <w:pPr>
        <w:pStyle w:val="CaseDisclaimer"/>
      </w:pPr>
      <w:r>
        <w:t>This case is fictional and intended for instructional discussion. Names, events, funds, and internal figures are invented, although the industry setting is motivated by public data.</w:t>
      </w:r>
    </w:p>
    <w:p w14:paraId="61901A14" w14:textId="77777777" w:rsidR="00DE6309" w:rsidRDefault="00DE6309" w:rsidP="00160610">
      <w:pPr>
        <w:rPr>
          <w:b/>
          <w:bCs/>
        </w:rPr>
      </w:pPr>
    </w:p>
    <w:p w14:paraId="31D72903" w14:textId="77777777" w:rsidR="00DE6309" w:rsidRDefault="00DE6309" w:rsidP="00160610">
      <w:pPr>
        <w:rPr>
          <w:b/>
          <w:bCs/>
        </w:rPr>
      </w:pPr>
    </w:p>
    <w:p w14:paraId="36293F8F" w14:textId="704568EC" w:rsidR="005A5693" w:rsidRDefault="00000000" w:rsidP="00160610">
      <w:r w:rsidRPr="00160610">
        <w:rPr>
          <w:b/>
          <w:bCs/>
        </w:rPr>
        <w:t xml:space="preserve">At 1:40 p.m. on July 22, Elena Marquez, chief operating officer of the Blue River System Operator (BRSO), studied three screens in the regional control room. </w:t>
      </w:r>
      <w:r>
        <w:t>One showed a demand forecast rising toward a record evening peak. A second showed a bank of thunderstorms moving toward the western solar corridor. The third displayed a warning from Riverbend Unit 4, a 720-megawatt combined-cycle generator whose cooling system had begun to vibrate outside its normal range.</w:t>
      </w:r>
    </w:p>
    <w:p w14:paraId="6778119C" w14:textId="77777777" w:rsidR="005A5693" w:rsidRPr="00160610" w:rsidRDefault="00000000" w:rsidP="00160610">
      <w:r w:rsidRPr="00160610">
        <w:t>BRSO coordinated the high-voltage grid serving 8.7 million people across the fictional states of Franklin, Monroe, and Easton. It did not own most generators or transmission lines. Instead, it committed generating units in advance, dispatched them in real time, purchased power from neighboring regions, maintained frequency, and directed emergency actions when supply could not safely cover demand.</w:t>
      </w:r>
    </w:p>
    <w:p w14:paraId="04488483" w14:textId="77777777" w:rsidR="005A5693" w:rsidRDefault="00000000" w:rsidP="00160610">
      <w:r>
        <w:t>The evening peak was expected near 6:00 p.m., when offices and factories would still be operating, commuters would return home, and air-conditioning loads would remain high. The day-ahead plan assumed 7,900 MW of solar production at 2:00 p.m., declining to 2,100 MW by 7:00 p.m. It also assumed Riverbend Unit 4 would remain available. If cloud cover arrived early and Riverbend tripped, the operating reserve could fall below BRSO's target before the peak.</w:t>
      </w:r>
    </w:p>
    <w:p w14:paraId="6D104C36" w14:textId="77777777" w:rsidR="005A5693" w:rsidRDefault="00000000" w:rsidP="00160610">
      <w:r>
        <w:t>Marquez had immediate choices: ask Riverbend to remain online at reduced output; start two older oil-fired peaking units; buy power in the five-minute market; discharge batteries earlier than planned; call a voluntary demand-response event; or prepare controlled service interruptions for a small group of industrial customers. Each action changed the options that would remain later in the day. The batteries could respond in seconds, but their stored energy would be exhausted after four hours. Starting the oil units required forty minutes and would produce high operating costs and emissions. Imported power appeared available, but neighboring regions were experiencing the same heat wave.</w:t>
      </w:r>
    </w:p>
    <w:p w14:paraId="25489D6B" w14:textId="77777777" w:rsidR="005A5693" w:rsidRDefault="00000000" w:rsidP="00160610">
      <w:pPr>
        <w:pStyle w:val="Heading1"/>
      </w:pPr>
      <w:r>
        <w:t>A Grid Entering a New Growth Era</w:t>
      </w:r>
    </w:p>
    <w:p w14:paraId="6DCBD7A0" w14:textId="77777777" w:rsidR="005A5693" w:rsidRDefault="00000000" w:rsidP="00160610">
      <w:r>
        <w:t>For nearly two decades, electricity consumption in the United States had grown slowly. That assumption was now disappearing. The U.S. Energy Information Administration reported that electricity demand grew about 1.7 percent annually from 2020 through 2025, compared with roughly 0.1 percent annual growth during the preceding decade. EIA expected continued growth as data centers, manufacturing, building electrification, and other large loads connected to the grid.</w:t>
      </w:r>
    </w:p>
    <w:p w14:paraId="401C1973" w14:textId="77777777" w:rsidR="005A5693" w:rsidRDefault="00000000" w:rsidP="00160610">
      <w:r>
        <w:t>North American reliability planners were also raising their forecasts. NERC's 2025 long-term assessment projected that summer peak demand could grow by 224 GW over ten years - more than 69 percent above the increase anticipated only one year earlier. New data centers supporting artificial intelligence and the digital economy accounted for much of the revision.</w:t>
      </w:r>
    </w:p>
    <w:p w14:paraId="1109223A" w14:textId="77777777" w:rsidR="005A5693" w:rsidRDefault="00000000" w:rsidP="00160610">
      <w:r>
        <w:t>Blue River was experiencing these forces in concentrated form. Three data-center campuses had opened since 2023. Six more projects, totaling 4,600 MW of requested service, were in various stages of study. Some would never be built, but BRSO could not assume that. A steel mill was also considering a switch from gas-fired furnaces to electric arc technology, while households were installing heat pumps and electric vehicles. Meanwhile, older coal and oil plants were retiring, and most proposed replacement capacity consisted of solar, wind, and batteries whose availability varied by hour and weather.</w:t>
      </w:r>
    </w:p>
    <w:p w14:paraId="126BD79D" w14:textId="77777777" w:rsidR="00160610" w:rsidRDefault="00160610">
      <w:pPr>
        <w:spacing w:after="200" w:line="276" w:lineRule="auto"/>
        <w:rPr>
          <w:rFonts w:eastAsiaTheme="minorEastAsia"/>
          <w:b/>
          <w:color w:val="183B4E"/>
          <w:sz w:val="19"/>
        </w:rPr>
      </w:pPr>
      <w:r>
        <w:br w:type="page"/>
      </w:r>
    </w:p>
    <w:p w14:paraId="2672CF8F" w14:textId="19A963F1" w:rsidR="005A5693" w:rsidRDefault="00000000">
      <w:pPr>
        <w:pStyle w:val="ExhibitTitle"/>
      </w:pPr>
      <w:r>
        <w:lastRenderedPageBreak/>
        <w:t>Exhibit 1. Blue River demand and resource outlook</w:t>
      </w:r>
    </w:p>
    <w:tbl>
      <w:tblPr>
        <w:tblStyle w:val="TableGrid"/>
        <w:tblW w:w="0" w:type="auto"/>
        <w:jc w:val="center"/>
        <w:tblLook w:val="04A0" w:firstRow="1" w:lastRow="0" w:firstColumn="1" w:lastColumn="0" w:noHBand="0" w:noVBand="1"/>
      </w:tblPr>
      <w:tblGrid>
        <w:gridCol w:w="2568"/>
        <w:gridCol w:w="2568"/>
        <w:gridCol w:w="2568"/>
        <w:gridCol w:w="2568"/>
      </w:tblGrid>
      <w:tr w:rsidR="005A5693" w14:paraId="7B5D603E" w14:textId="77777777">
        <w:trPr>
          <w:tblHeader/>
          <w:jc w:val="center"/>
        </w:trPr>
        <w:tc>
          <w:tcPr>
            <w:tcW w:w="2570" w:type="dxa"/>
            <w:shd w:val="clear" w:color="auto" w:fill="D9EAF1"/>
            <w:tcMar>
              <w:top w:w="70" w:type="dxa"/>
              <w:left w:w="90" w:type="dxa"/>
              <w:bottom w:w="70" w:type="dxa"/>
              <w:right w:w="90" w:type="dxa"/>
            </w:tcMar>
            <w:vAlign w:val="center"/>
          </w:tcPr>
          <w:p w14:paraId="1D91552D" w14:textId="77777777" w:rsidR="005A5693" w:rsidRDefault="00000000" w:rsidP="00160610">
            <w:r>
              <w:t>Measure</w:t>
            </w:r>
          </w:p>
        </w:tc>
        <w:tc>
          <w:tcPr>
            <w:tcW w:w="2570" w:type="dxa"/>
            <w:shd w:val="clear" w:color="auto" w:fill="D9EAF1"/>
            <w:tcMar>
              <w:top w:w="70" w:type="dxa"/>
              <w:left w:w="90" w:type="dxa"/>
              <w:bottom w:w="70" w:type="dxa"/>
              <w:right w:w="90" w:type="dxa"/>
            </w:tcMar>
            <w:vAlign w:val="center"/>
          </w:tcPr>
          <w:p w14:paraId="6B7D69F9" w14:textId="77777777" w:rsidR="005A5693" w:rsidRDefault="00000000" w:rsidP="00160610">
            <w:r>
              <w:t>2022</w:t>
            </w:r>
          </w:p>
        </w:tc>
        <w:tc>
          <w:tcPr>
            <w:tcW w:w="2570" w:type="dxa"/>
            <w:shd w:val="clear" w:color="auto" w:fill="D9EAF1"/>
            <w:tcMar>
              <w:top w:w="70" w:type="dxa"/>
              <w:left w:w="90" w:type="dxa"/>
              <w:bottom w:w="70" w:type="dxa"/>
              <w:right w:w="90" w:type="dxa"/>
            </w:tcMar>
            <w:vAlign w:val="center"/>
          </w:tcPr>
          <w:p w14:paraId="4557725D" w14:textId="77777777" w:rsidR="005A5693" w:rsidRDefault="00000000" w:rsidP="00160610">
            <w:r>
              <w:t>2026 estimate</w:t>
            </w:r>
          </w:p>
        </w:tc>
        <w:tc>
          <w:tcPr>
            <w:tcW w:w="2570" w:type="dxa"/>
            <w:shd w:val="clear" w:color="auto" w:fill="D9EAF1"/>
            <w:tcMar>
              <w:top w:w="70" w:type="dxa"/>
              <w:left w:w="90" w:type="dxa"/>
              <w:bottom w:w="70" w:type="dxa"/>
              <w:right w:w="90" w:type="dxa"/>
            </w:tcMar>
            <w:vAlign w:val="center"/>
          </w:tcPr>
          <w:p w14:paraId="46CB2BD5" w14:textId="77777777" w:rsidR="005A5693" w:rsidRDefault="00000000" w:rsidP="00160610">
            <w:r>
              <w:t>2031 planning case</w:t>
            </w:r>
          </w:p>
        </w:tc>
      </w:tr>
      <w:tr w:rsidR="005A5693" w14:paraId="049B5304" w14:textId="77777777">
        <w:trPr>
          <w:jc w:val="center"/>
        </w:trPr>
        <w:tc>
          <w:tcPr>
            <w:tcW w:w="2570" w:type="dxa"/>
            <w:tcMar>
              <w:top w:w="70" w:type="dxa"/>
              <w:left w:w="90" w:type="dxa"/>
              <w:bottom w:w="70" w:type="dxa"/>
              <w:right w:w="90" w:type="dxa"/>
            </w:tcMar>
            <w:vAlign w:val="center"/>
          </w:tcPr>
          <w:p w14:paraId="484230DF" w14:textId="77777777" w:rsidR="005A5693" w:rsidRDefault="00000000" w:rsidP="00160610">
            <w:r>
              <w:t>Annual electricity use (TWh)</w:t>
            </w:r>
          </w:p>
        </w:tc>
        <w:tc>
          <w:tcPr>
            <w:tcW w:w="2570" w:type="dxa"/>
            <w:tcMar>
              <w:top w:w="70" w:type="dxa"/>
              <w:left w:w="90" w:type="dxa"/>
              <w:bottom w:w="70" w:type="dxa"/>
              <w:right w:w="90" w:type="dxa"/>
            </w:tcMar>
            <w:vAlign w:val="center"/>
          </w:tcPr>
          <w:p w14:paraId="2E59A8B7" w14:textId="77777777" w:rsidR="005A5693" w:rsidRDefault="00000000" w:rsidP="00160610">
            <w:r>
              <w:t>142</w:t>
            </w:r>
          </w:p>
        </w:tc>
        <w:tc>
          <w:tcPr>
            <w:tcW w:w="2570" w:type="dxa"/>
            <w:tcMar>
              <w:top w:w="70" w:type="dxa"/>
              <w:left w:w="90" w:type="dxa"/>
              <w:bottom w:w="70" w:type="dxa"/>
              <w:right w:w="90" w:type="dxa"/>
            </w:tcMar>
            <w:vAlign w:val="center"/>
          </w:tcPr>
          <w:p w14:paraId="40AA35D1" w14:textId="77777777" w:rsidR="005A5693" w:rsidRDefault="00000000" w:rsidP="00160610">
            <w:r>
              <w:t>157</w:t>
            </w:r>
          </w:p>
        </w:tc>
        <w:tc>
          <w:tcPr>
            <w:tcW w:w="2570" w:type="dxa"/>
            <w:tcMar>
              <w:top w:w="70" w:type="dxa"/>
              <w:left w:w="90" w:type="dxa"/>
              <w:bottom w:w="70" w:type="dxa"/>
              <w:right w:w="90" w:type="dxa"/>
            </w:tcMar>
            <w:vAlign w:val="center"/>
          </w:tcPr>
          <w:p w14:paraId="5CDF7BC0" w14:textId="77777777" w:rsidR="005A5693" w:rsidRDefault="00000000" w:rsidP="00160610">
            <w:r>
              <w:t>190</w:t>
            </w:r>
          </w:p>
        </w:tc>
      </w:tr>
      <w:tr w:rsidR="005A5693" w14:paraId="200E0648" w14:textId="77777777">
        <w:trPr>
          <w:jc w:val="center"/>
        </w:trPr>
        <w:tc>
          <w:tcPr>
            <w:tcW w:w="2570" w:type="dxa"/>
            <w:tcMar>
              <w:top w:w="70" w:type="dxa"/>
              <w:left w:w="90" w:type="dxa"/>
              <w:bottom w:w="70" w:type="dxa"/>
              <w:right w:w="90" w:type="dxa"/>
            </w:tcMar>
            <w:vAlign w:val="center"/>
          </w:tcPr>
          <w:p w14:paraId="55CC60E5" w14:textId="77777777" w:rsidR="005A5693" w:rsidRDefault="00000000" w:rsidP="00160610">
            <w:r>
              <w:t>Summer peak demand (MW)</w:t>
            </w:r>
          </w:p>
        </w:tc>
        <w:tc>
          <w:tcPr>
            <w:tcW w:w="2570" w:type="dxa"/>
            <w:tcMar>
              <w:top w:w="70" w:type="dxa"/>
              <w:left w:w="90" w:type="dxa"/>
              <w:bottom w:w="70" w:type="dxa"/>
              <w:right w:w="90" w:type="dxa"/>
            </w:tcMar>
            <w:vAlign w:val="center"/>
          </w:tcPr>
          <w:p w14:paraId="1CAE23FC" w14:textId="77777777" w:rsidR="005A5693" w:rsidRDefault="00000000" w:rsidP="00160610">
            <w:r>
              <w:t>24,800</w:t>
            </w:r>
          </w:p>
        </w:tc>
        <w:tc>
          <w:tcPr>
            <w:tcW w:w="2570" w:type="dxa"/>
            <w:tcMar>
              <w:top w:w="70" w:type="dxa"/>
              <w:left w:w="90" w:type="dxa"/>
              <w:bottom w:w="70" w:type="dxa"/>
              <w:right w:w="90" w:type="dxa"/>
            </w:tcMar>
            <w:vAlign w:val="center"/>
          </w:tcPr>
          <w:p w14:paraId="5FA73883" w14:textId="77777777" w:rsidR="005A5693" w:rsidRDefault="00000000" w:rsidP="00160610">
            <w:r>
              <w:t>28,900</w:t>
            </w:r>
          </w:p>
        </w:tc>
        <w:tc>
          <w:tcPr>
            <w:tcW w:w="2570" w:type="dxa"/>
            <w:tcMar>
              <w:top w:w="70" w:type="dxa"/>
              <w:left w:w="90" w:type="dxa"/>
              <w:bottom w:w="70" w:type="dxa"/>
              <w:right w:w="90" w:type="dxa"/>
            </w:tcMar>
            <w:vAlign w:val="center"/>
          </w:tcPr>
          <w:p w14:paraId="2D2FDBBF" w14:textId="77777777" w:rsidR="005A5693" w:rsidRDefault="00000000" w:rsidP="00160610">
            <w:r>
              <w:t>36,500</w:t>
            </w:r>
          </w:p>
        </w:tc>
      </w:tr>
      <w:tr w:rsidR="005A5693" w14:paraId="4F731EE0" w14:textId="77777777">
        <w:trPr>
          <w:jc w:val="center"/>
        </w:trPr>
        <w:tc>
          <w:tcPr>
            <w:tcW w:w="2570" w:type="dxa"/>
            <w:tcMar>
              <w:top w:w="70" w:type="dxa"/>
              <w:left w:w="90" w:type="dxa"/>
              <w:bottom w:w="70" w:type="dxa"/>
              <w:right w:w="90" w:type="dxa"/>
            </w:tcMar>
            <w:vAlign w:val="center"/>
          </w:tcPr>
          <w:p w14:paraId="5513AE1B" w14:textId="77777777" w:rsidR="005A5693" w:rsidRDefault="00000000" w:rsidP="00160610">
            <w:r>
              <w:t>Data-center peak load (MW)</w:t>
            </w:r>
          </w:p>
        </w:tc>
        <w:tc>
          <w:tcPr>
            <w:tcW w:w="2570" w:type="dxa"/>
            <w:tcMar>
              <w:top w:w="70" w:type="dxa"/>
              <w:left w:w="90" w:type="dxa"/>
              <w:bottom w:w="70" w:type="dxa"/>
              <w:right w:w="90" w:type="dxa"/>
            </w:tcMar>
            <w:vAlign w:val="center"/>
          </w:tcPr>
          <w:p w14:paraId="6F0B1341" w14:textId="77777777" w:rsidR="005A5693" w:rsidRDefault="00000000" w:rsidP="00160610">
            <w:r>
              <w:t>650</w:t>
            </w:r>
          </w:p>
        </w:tc>
        <w:tc>
          <w:tcPr>
            <w:tcW w:w="2570" w:type="dxa"/>
            <w:tcMar>
              <w:top w:w="70" w:type="dxa"/>
              <w:left w:w="90" w:type="dxa"/>
              <w:bottom w:w="70" w:type="dxa"/>
              <w:right w:w="90" w:type="dxa"/>
            </w:tcMar>
            <w:vAlign w:val="center"/>
          </w:tcPr>
          <w:p w14:paraId="16EE8F77" w14:textId="77777777" w:rsidR="005A5693" w:rsidRDefault="00000000" w:rsidP="00160610">
            <w:r>
              <w:t>2,750</w:t>
            </w:r>
          </w:p>
        </w:tc>
        <w:tc>
          <w:tcPr>
            <w:tcW w:w="2570" w:type="dxa"/>
            <w:tcMar>
              <w:top w:w="70" w:type="dxa"/>
              <w:left w:w="90" w:type="dxa"/>
              <w:bottom w:w="70" w:type="dxa"/>
              <w:right w:w="90" w:type="dxa"/>
            </w:tcMar>
            <w:vAlign w:val="center"/>
          </w:tcPr>
          <w:p w14:paraId="59027C9B" w14:textId="77777777" w:rsidR="005A5693" w:rsidRDefault="00000000" w:rsidP="00160610">
            <w:r>
              <w:t>7,200</w:t>
            </w:r>
          </w:p>
        </w:tc>
      </w:tr>
      <w:tr w:rsidR="005A5693" w14:paraId="27962EC7" w14:textId="77777777">
        <w:trPr>
          <w:jc w:val="center"/>
        </w:trPr>
        <w:tc>
          <w:tcPr>
            <w:tcW w:w="2570" w:type="dxa"/>
            <w:tcMar>
              <w:top w:w="70" w:type="dxa"/>
              <w:left w:w="90" w:type="dxa"/>
              <w:bottom w:w="70" w:type="dxa"/>
              <w:right w:w="90" w:type="dxa"/>
            </w:tcMar>
            <w:vAlign w:val="center"/>
          </w:tcPr>
          <w:p w14:paraId="0E7445AE" w14:textId="77777777" w:rsidR="005A5693" w:rsidRDefault="00000000" w:rsidP="00160610">
            <w:r>
              <w:t>Dispatchable thermal capacity (MW)</w:t>
            </w:r>
          </w:p>
        </w:tc>
        <w:tc>
          <w:tcPr>
            <w:tcW w:w="2570" w:type="dxa"/>
            <w:tcMar>
              <w:top w:w="70" w:type="dxa"/>
              <w:left w:w="90" w:type="dxa"/>
              <w:bottom w:w="70" w:type="dxa"/>
              <w:right w:w="90" w:type="dxa"/>
            </w:tcMar>
            <w:vAlign w:val="center"/>
          </w:tcPr>
          <w:p w14:paraId="1DA1D092" w14:textId="77777777" w:rsidR="005A5693" w:rsidRDefault="00000000" w:rsidP="00160610">
            <w:r>
              <w:t>21,400</w:t>
            </w:r>
          </w:p>
        </w:tc>
        <w:tc>
          <w:tcPr>
            <w:tcW w:w="2570" w:type="dxa"/>
            <w:tcMar>
              <w:top w:w="70" w:type="dxa"/>
              <w:left w:w="90" w:type="dxa"/>
              <w:bottom w:w="70" w:type="dxa"/>
              <w:right w:w="90" w:type="dxa"/>
            </w:tcMar>
            <w:vAlign w:val="center"/>
          </w:tcPr>
          <w:p w14:paraId="63CB38E5" w14:textId="77777777" w:rsidR="005A5693" w:rsidRDefault="00000000" w:rsidP="00160610">
            <w:r>
              <w:t>19,900</w:t>
            </w:r>
          </w:p>
        </w:tc>
        <w:tc>
          <w:tcPr>
            <w:tcW w:w="2570" w:type="dxa"/>
            <w:tcMar>
              <w:top w:w="70" w:type="dxa"/>
              <w:left w:w="90" w:type="dxa"/>
              <w:bottom w:w="70" w:type="dxa"/>
              <w:right w:w="90" w:type="dxa"/>
            </w:tcMar>
            <w:vAlign w:val="center"/>
          </w:tcPr>
          <w:p w14:paraId="06528A74" w14:textId="77777777" w:rsidR="005A5693" w:rsidRDefault="00000000" w:rsidP="00160610">
            <w:r>
              <w:t>18,100</w:t>
            </w:r>
          </w:p>
        </w:tc>
      </w:tr>
      <w:tr w:rsidR="005A5693" w14:paraId="6086A351" w14:textId="77777777">
        <w:trPr>
          <w:jc w:val="center"/>
        </w:trPr>
        <w:tc>
          <w:tcPr>
            <w:tcW w:w="2570" w:type="dxa"/>
            <w:tcMar>
              <w:top w:w="70" w:type="dxa"/>
              <w:left w:w="90" w:type="dxa"/>
              <w:bottom w:w="70" w:type="dxa"/>
              <w:right w:w="90" w:type="dxa"/>
            </w:tcMar>
            <w:vAlign w:val="center"/>
          </w:tcPr>
          <w:p w14:paraId="478D4955" w14:textId="77777777" w:rsidR="005A5693" w:rsidRDefault="00000000" w:rsidP="00160610">
            <w:r>
              <w:t>Battery power / energy</w:t>
            </w:r>
          </w:p>
        </w:tc>
        <w:tc>
          <w:tcPr>
            <w:tcW w:w="2570" w:type="dxa"/>
            <w:tcMar>
              <w:top w:w="70" w:type="dxa"/>
              <w:left w:w="90" w:type="dxa"/>
              <w:bottom w:w="70" w:type="dxa"/>
              <w:right w:w="90" w:type="dxa"/>
            </w:tcMar>
            <w:vAlign w:val="center"/>
          </w:tcPr>
          <w:p w14:paraId="12430ED5" w14:textId="77777777" w:rsidR="005A5693" w:rsidRDefault="00000000" w:rsidP="00160610">
            <w:r>
              <w:t>450 MW / 1,000 MWh</w:t>
            </w:r>
          </w:p>
        </w:tc>
        <w:tc>
          <w:tcPr>
            <w:tcW w:w="2570" w:type="dxa"/>
            <w:tcMar>
              <w:top w:w="70" w:type="dxa"/>
              <w:left w:w="90" w:type="dxa"/>
              <w:bottom w:w="70" w:type="dxa"/>
              <w:right w:w="90" w:type="dxa"/>
            </w:tcMar>
            <w:vAlign w:val="center"/>
          </w:tcPr>
          <w:p w14:paraId="319CC9C3" w14:textId="77777777" w:rsidR="005A5693" w:rsidRDefault="00000000" w:rsidP="00160610">
            <w:r>
              <w:t>2,250 MW / 7,200 MWh</w:t>
            </w:r>
          </w:p>
        </w:tc>
        <w:tc>
          <w:tcPr>
            <w:tcW w:w="2570" w:type="dxa"/>
            <w:tcMar>
              <w:top w:w="70" w:type="dxa"/>
              <w:left w:w="90" w:type="dxa"/>
              <w:bottom w:w="70" w:type="dxa"/>
              <w:right w:w="90" w:type="dxa"/>
            </w:tcMar>
            <w:vAlign w:val="center"/>
          </w:tcPr>
          <w:p w14:paraId="66F50325" w14:textId="77777777" w:rsidR="005A5693" w:rsidRDefault="00000000" w:rsidP="00160610">
            <w:r>
              <w:t>5,100 MW / 20,400 MWh</w:t>
            </w:r>
          </w:p>
        </w:tc>
      </w:tr>
    </w:tbl>
    <w:p w14:paraId="28344473" w14:textId="77777777" w:rsidR="005A5693" w:rsidRDefault="00000000">
      <w:pPr>
        <w:pStyle w:val="ExhibitNote"/>
      </w:pPr>
      <w:r>
        <w:t>All Blue River figures are fictional. Nameplate renewable capacity is not equivalent to output available during the system peak.</w:t>
      </w:r>
    </w:p>
    <w:p w14:paraId="7832CA70" w14:textId="77777777" w:rsidR="005A5693" w:rsidRDefault="00000000" w:rsidP="00160610">
      <w:pPr>
        <w:pStyle w:val="Heading1"/>
      </w:pPr>
      <w:r>
        <w:t>The Daily Operating Puzzle</w:t>
      </w:r>
    </w:p>
    <w:p w14:paraId="4F8D22A6" w14:textId="77777777" w:rsidR="005A5693" w:rsidRDefault="00000000" w:rsidP="00160610">
      <w:r>
        <w:t>Every afternoon, BRSO committed enough generation for the following day. Large nuclear units generally ran continuously. Coal and steam units required many hours to start and could not change output quickly. Combined-cycle gas units were more flexible but depended on pipeline capacity and gas prices. Simple-cycle turbines could start quickly but were expensive. Wind and solar had low operating costs, but BRSO could not order the wind to blow or prevent a cloud bank from crossing a solar field.</w:t>
      </w:r>
    </w:p>
    <w:p w14:paraId="74770CCC" w14:textId="77777777" w:rsidR="005A5693" w:rsidRDefault="00000000" w:rsidP="00160610">
      <w:r>
        <w:t>In real time, system operators had to keep electricity supply and demand in near-perfect balance. A mismatch could cause frequency to drift away from 60 hertz, potentially damaging equipment or triggering automatic disconnections. Dispatch instructions and market prices were updated every five minutes, while regulation resources adjusted output every few seconds. Transmission constraints complicated matters: inexpensive power in the north could not always reach the southern load centers because two key lines were approaching thermal limits.</w:t>
      </w:r>
    </w:p>
    <w:p w14:paraId="1632EDCA" w14:textId="77777777" w:rsidR="005A5693" w:rsidRDefault="00000000" w:rsidP="00160610">
      <w:r>
        <w:t>The demand forecast was itself a moving target. A one-degree error in the evening temperature forecast could change peak demand by approximately 280 MW. Cloud cover could simultaneously reduce solar production and lower air-conditioning demand, but not always in the same places. A major sports event could shift hundreds of megawatts within minutes when spectators returned home. Industrial customers could reduce consumption when called, but their response depended on production commitments, staffing, and the incentive payment.</w:t>
      </w:r>
    </w:p>
    <w:p w14:paraId="3AD925A4" w14:textId="77777777" w:rsidR="005A5693" w:rsidRDefault="00000000">
      <w:pPr>
        <w:pStyle w:val="ExhibitTitle"/>
      </w:pPr>
      <w:r>
        <w:t>Exhibit 2. Operating position for July 22, 6:00 p.m.</w:t>
      </w:r>
    </w:p>
    <w:tbl>
      <w:tblPr>
        <w:tblStyle w:val="TableGrid"/>
        <w:tblW w:w="0" w:type="auto"/>
        <w:jc w:val="center"/>
        <w:tblLook w:val="04A0" w:firstRow="1" w:lastRow="0" w:firstColumn="1" w:lastColumn="0" w:noHBand="0" w:noVBand="1"/>
      </w:tblPr>
      <w:tblGrid>
        <w:gridCol w:w="2567"/>
        <w:gridCol w:w="2568"/>
        <w:gridCol w:w="2568"/>
        <w:gridCol w:w="2569"/>
      </w:tblGrid>
      <w:tr w:rsidR="005A5693" w14:paraId="6A6C0CFA" w14:textId="77777777">
        <w:trPr>
          <w:tblHeader/>
          <w:jc w:val="center"/>
        </w:trPr>
        <w:tc>
          <w:tcPr>
            <w:tcW w:w="2570" w:type="dxa"/>
            <w:shd w:val="clear" w:color="auto" w:fill="D9EAF1"/>
            <w:tcMar>
              <w:top w:w="70" w:type="dxa"/>
              <w:left w:w="90" w:type="dxa"/>
              <w:bottom w:w="70" w:type="dxa"/>
              <w:right w:w="90" w:type="dxa"/>
            </w:tcMar>
            <w:vAlign w:val="center"/>
          </w:tcPr>
          <w:p w14:paraId="3785D474" w14:textId="77777777" w:rsidR="005A5693" w:rsidRDefault="00000000" w:rsidP="00160610">
            <w:r>
              <w:t>Resource or requirement</w:t>
            </w:r>
          </w:p>
        </w:tc>
        <w:tc>
          <w:tcPr>
            <w:tcW w:w="2570" w:type="dxa"/>
            <w:shd w:val="clear" w:color="auto" w:fill="D9EAF1"/>
            <w:tcMar>
              <w:top w:w="70" w:type="dxa"/>
              <w:left w:w="90" w:type="dxa"/>
              <w:bottom w:w="70" w:type="dxa"/>
              <w:right w:w="90" w:type="dxa"/>
            </w:tcMar>
            <w:vAlign w:val="center"/>
          </w:tcPr>
          <w:p w14:paraId="243431BF" w14:textId="77777777" w:rsidR="005A5693" w:rsidRDefault="00000000" w:rsidP="00160610">
            <w:r>
              <w:t>Expected MW</w:t>
            </w:r>
          </w:p>
        </w:tc>
        <w:tc>
          <w:tcPr>
            <w:tcW w:w="2570" w:type="dxa"/>
            <w:shd w:val="clear" w:color="auto" w:fill="D9EAF1"/>
            <w:tcMar>
              <w:top w:w="70" w:type="dxa"/>
              <w:left w:w="90" w:type="dxa"/>
              <w:bottom w:w="70" w:type="dxa"/>
              <w:right w:w="90" w:type="dxa"/>
            </w:tcMar>
            <w:vAlign w:val="center"/>
          </w:tcPr>
          <w:p w14:paraId="01652A6E" w14:textId="77777777" w:rsidR="005A5693" w:rsidRDefault="00000000" w:rsidP="00160610">
            <w:r>
              <w:t>Downside case MW</w:t>
            </w:r>
          </w:p>
        </w:tc>
        <w:tc>
          <w:tcPr>
            <w:tcW w:w="2570" w:type="dxa"/>
            <w:shd w:val="clear" w:color="auto" w:fill="D9EAF1"/>
            <w:tcMar>
              <w:top w:w="70" w:type="dxa"/>
              <w:left w:w="90" w:type="dxa"/>
              <w:bottom w:w="70" w:type="dxa"/>
              <w:right w:w="90" w:type="dxa"/>
            </w:tcMar>
            <w:vAlign w:val="center"/>
          </w:tcPr>
          <w:p w14:paraId="211980B9" w14:textId="77777777" w:rsidR="005A5693" w:rsidRDefault="00000000" w:rsidP="00160610">
            <w:r>
              <w:t>Operating consideration</w:t>
            </w:r>
          </w:p>
        </w:tc>
      </w:tr>
      <w:tr w:rsidR="005A5693" w14:paraId="124A86F0" w14:textId="77777777">
        <w:trPr>
          <w:jc w:val="center"/>
        </w:trPr>
        <w:tc>
          <w:tcPr>
            <w:tcW w:w="2570" w:type="dxa"/>
            <w:tcMar>
              <w:top w:w="70" w:type="dxa"/>
              <w:left w:w="90" w:type="dxa"/>
              <w:bottom w:w="70" w:type="dxa"/>
              <w:right w:w="90" w:type="dxa"/>
            </w:tcMar>
            <w:vAlign w:val="center"/>
          </w:tcPr>
          <w:p w14:paraId="4E3ABB02" w14:textId="77777777" w:rsidR="005A5693" w:rsidRDefault="00000000" w:rsidP="00160610">
            <w:r>
              <w:t>Customer demand</w:t>
            </w:r>
          </w:p>
        </w:tc>
        <w:tc>
          <w:tcPr>
            <w:tcW w:w="2570" w:type="dxa"/>
            <w:tcMar>
              <w:top w:w="70" w:type="dxa"/>
              <w:left w:w="90" w:type="dxa"/>
              <w:bottom w:w="70" w:type="dxa"/>
              <w:right w:w="90" w:type="dxa"/>
            </w:tcMar>
            <w:vAlign w:val="center"/>
          </w:tcPr>
          <w:p w14:paraId="3E251857" w14:textId="77777777" w:rsidR="005A5693" w:rsidRDefault="00000000" w:rsidP="00160610">
            <w:r>
              <w:t>30,850</w:t>
            </w:r>
          </w:p>
        </w:tc>
        <w:tc>
          <w:tcPr>
            <w:tcW w:w="2570" w:type="dxa"/>
            <w:tcMar>
              <w:top w:w="70" w:type="dxa"/>
              <w:left w:w="90" w:type="dxa"/>
              <w:bottom w:w="70" w:type="dxa"/>
              <w:right w:w="90" w:type="dxa"/>
            </w:tcMar>
            <w:vAlign w:val="center"/>
          </w:tcPr>
          <w:p w14:paraId="30238890" w14:textId="77777777" w:rsidR="005A5693" w:rsidRDefault="00000000" w:rsidP="00160610">
            <w:r>
              <w:t>31,700</w:t>
            </w:r>
          </w:p>
        </w:tc>
        <w:tc>
          <w:tcPr>
            <w:tcW w:w="2570" w:type="dxa"/>
            <w:tcMar>
              <w:top w:w="70" w:type="dxa"/>
              <w:left w:w="90" w:type="dxa"/>
              <w:bottom w:w="70" w:type="dxa"/>
              <w:right w:w="90" w:type="dxa"/>
            </w:tcMar>
            <w:vAlign w:val="center"/>
          </w:tcPr>
          <w:p w14:paraId="5E3AD6AD" w14:textId="77777777" w:rsidR="005A5693" w:rsidRDefault="00000000" w:rsidP="00160610">
            <w:r>
              <w:t>Temperature and humidity remain uncertain</w:t>
            </w:r>
          </w:p>
        </w:tc>
      </w:tr>
      <w:tr w:rsidR="005A5693" w14:paraId="6165E322" w14:textId="77777777">
        <w:trPr>
          <w:jc w:val="center"/>
        </w:trPr>
        <w:tc>
          <w:tcPr>
            <w:tcW w:w="2570" w:type="dxa"/>
            <w:tcMar>
              <w:top w:w="70" w:type="dxa"/>
              <w:left w:w="90" w:type="dxa"/>
              <w:bottom w:w="70" w:type="dxa"/>
              <w:right w:w="90" w:type="dxa"/>
            </w:tcMar>
            <w:vAlign w:val="center"/>
          </w:tcPr>
          <w:p w14:paraId="502761BB" w14:textId="77777777" w:rsidR="005A5693" w:rsidRDefault="00000000" w:rsidP="00160610">
            <w:r>
              <w:t>Nuclear and must-run generation</w:t>
            </w:r>
          </w:p>
        </w:tc>
        <w:tc>
          <w:tcPr>
            <w:tcW w:w="2570" w:type="dxa"/>
            <w:tcMar>
              <w:top w:w="70" w:type="dxa"/>
              <w:left w:w="90" w:type="dxa"/>
              <w:bottom w:w="70" w:type="dxa"/>
              <w:right w:w="90" w:type="dxa"/>
            </w:tcMar>
            <w:vAlign w:val="center"/>
          </w:tcPr>
          <w:p w14:paraId="11DD13C9" w14:textId="77777777" w:rsidR="005A5693" w:rsidRDefault="00000000" w:rsidP="00160610">
            <w:r>
              <w:t>5,900</w:t>
            </w:r>
          </w:p>
        </w:tc>
        <w:tc>
          <w:tcPr>
            <w:tcW w:w="2570" w:type="dxa"/>
            <w:tcMar>
              <w:top w:w="70" w:type="dxa"/>
              <w:left w:w="90" w:type="dxa"/>
              <w:bottom w:w="70" w:type="dxa"/>
              <w:right w:w="90" w:type="dxa"/>
            </w:tcMar>
            <w:vAlign w:val="center"/>
          </w:tcPr>
          <w:p w14:paraId="694CB91E" w14:textId="77777777" w:rsidR="005A5693" w:rsidRDefault="00000000" w:rsidP="00160610">
            <w:r>
              <w:t>5,900</w:t>
            </w:r>
          </w:p>
        </w:tc>
        <w:tc>
          <w:tcPr>
            <w:tcW w:w="2570" w:type="dxa"/>
            <w:tcMar>
              <w:top w:w="70" w:type="dxa"/>
              <w:left w:w="90" w:type="dxa"/>
              <w:bottom w:w="70" w:type="dxa"/>
              <w:right w:w="90" w:type="dxa"/>
            </w:tcMar>
            <w:vAlign w:val="center"/>
          </w:tcPr>
          <w:p w14:paraId="3F66AF75" w14:textId="77777777" w:rsidR="005A5693" w:rsidRDefault="00000000" w:rsidP="00160610">
            <w:r>
              <w:t>Little short-run flexibility</w:t>
            </w:r>
          </w:p>
        </w:tc>
      </w:tr>
      <w:tr w:rsidR="005A5693" w14:paraId="49AB3535" w14:textId="77777777">
        <w:trPr>
          <w:jc w:val="center"/>
        </w:trPr>
        <w:tc>
          <w:tcPr>
            <w:tcW w:w="2570" w:type="dxa"/>
            <w:tcMar>
              <w:top w:w="70" w:type="dxa"/>
              <w:left w:w="90" w:type="dxa"/>
              <w:bottom w:w="70" w:type="dxa"/>
              <w:right w:w="90" w:type="dxa"/>
            </w:tcMar>
            <w:vAlign w:val="center"/>
          </w:tcPr>
          <w:p w14:paraId="1CC78212" w14:textId="77777777" w:rsidR="005A5693" w:rsidRDefault="00000000" w:rsidP="00160610">
            <w:r>
              <w:t>Coal and steam generation</w:t>
            </w:r>
          </w:p>
        </w:tc>
        <w:tc>
          <w:tcPr>
            <w:tcW w:w="2570" w:type="dxa"/>
            <w:tcMar>
              <w:top w:w="70" w:type="dxa"/>
              <w:left w:w="90" w:type="dxa"/>
              <w:bottom w:w="70" w:type="dxa"/>
              <w:right w:w="90" w:type="dxa"/>
            </w:tcMar>
            <w:vAlign w:val="center"/>
          </w:tcPr>
          <w:p w14:paraId="2CD5A38A" w14:textId="77777777" w:rsidR="005A5693" w:rsidRDefault="00000000" w:rsidP="00160610">
            <w:r>
              <w:t>4,850</w:t>
            </w:r>
          </w:p>
        </w:tc>
        <w:tc>
          <w:tcPr>
            <w:tcW w:w="2570" w:type="dxa"/>
            <w:tcMar>
              <w:top w:w="70" w:type="dxa"/>
              <w:left w:w="90" w:type="dxa"/>
              <w:bottom w:w="70" w:type="dxa"/>
              <w:right w:w="90" w:type="dxa"/>
            </w:tcMar>
            <w:vAlign w:val="center"/>
          </w:tcPr>
          <w:p w14:paraId="1AEFA50D" w14:textId="77777777" w:rsidR="005A5693" w:rsidRDefault="00000000" w:rsidP="00160610">
            <w:r>
              <w:t>4,550</w:t>
            </w:r>
          </w:p>
        </w:tc>
        <w:tc>
          <w:tcPr>
            <w:tcW w:w="2570" w:type="dxa"/>
            <w:tcMar>
              <w:top w:w="70" w:type="dxa"/>
              <w:left w:w="90" w:type="dxa"/>
              <w:bottom w:w="70" w:type="dxa"/>
              <w:right w:w="90" w:type="dxa"/>
            </w:tcMar>
            <w:vAlign w:val="center"/>
          </w:tcPr>
          <w:p w14:paraId="769B94DF" w14:textId="77777777" w:rsidR="005A5693" w:rsidRDefault="00000000" w:rsidP="00160610">
            <w:r>
              <w:t>One unit has boiler-temperature concerns</w:t>
            </w:r>
          </w:p>
        </w:tc>
      </w:tr>
      <w:tr w:rsidR="005A5693" w14:paraId="7C7ACECE" w14:textId="77777777">
        <w:trPr>
          <w:jc w:val="center"/>
        </w:trPr>
        <w:tc>
          <w:tcPr>
            <w:tcW w:w="2570" w:type="dxa"/>
            <w:tcMar>
              <w:top w:w="70" w:type="dxa"/>
              <w:left w:w="90" w:type="dxa"/>
              <w:bottom w:w="70" w:type="dxa"/>
              <w:right w:w="90" w:type="dxa"/>
            </w:tcMar>
            <w:vAlign w:val="center"/>
          </w:tcPr>
          <w:p w14:paraId="48251862" w14:textId="77777777" w:rsidR="005A5693" w:rsidRDefault="00000000" w:rsidP="00160610">
            <w:r>
              <w:lastRenderedPageBreak/>
              <w:t>Combined-cycle gas</w:t>
            </w:r>
          </w:p>
        </w:tc>
        <w:tc>
          <w:tcPr>
            <w:tcW w:w="2570" w:type="dxa"/>
            <w:tcMar>
              <w:top w:w="70" w:type="dxa"/>
              <w:left w:w="90" w:type="dxa"/>
              <w:bottom w:w="70" w:type="dxa"/>
              <w:right w:w="90" w:type="dxa"/>
            </w:tcMar>
            <w:vAlign w:val="center"/>
          </w:tcPr>
          <w:p w14:paraId="5225312E" w14:textId="77777777" w:rsidR="005A5693" w:rsidRDefault="00000000" w:rsidP="00160610">
            <w:r>
              <w:t>8,300</w:t>
            </w:r>
          </w:p>
        </w:tc>
        <w:tc>
          <w:tcPr>
            <w:tcW w:w="2570" w:type="dxa"/>
            <w:tcMar>
              <w:top w:w="70" w:type="dxa"/>
              <w:left w:w="90" w:type="dxa"/>
              <w:bottom w:w="70" w:type="dxa"/>
              <w:right w:w="90" w:type="dxa"/>
            </w:tcMar>
            <w:vAlign w:val="center"/>
          </w:tcPr>
          <w:p w14:paraId="77DC99C9" w14:textId="77777777" w:rsidR="005A5693" w:rsidRDefault="00000000" w:rsidP="00160610">
            <w:r>
              <w:t>7,580</w:t>
            </w:r>
          </w:p>
        </w:tc>
        <w:tc>
          <w:tcPr>
            <w:tcW w:w="2570" w:type="dxa"/>
            <w:tcMar>
              <w:top w:w="70" w:type="dxa"/>
              <w:left w:w="90" w:type="dxa"/>
              <w:bottom w:w="70" w:type="dxa"/>
              <w:right w:w="90" w:type="dxa"/>
            </w:tcMar>
            <w:vAlign w:val="center"/>
          </w:tcPr>
          <w:p w14:paraId="65049952" w14:textId="77777777" w:rsidR="005A5693" w:rsidRDefault="00000000" w:rsidP="00160610">
            <w:r>
              <w:t>Includes Riverbend Unit 4</w:t>
            </w:r>
          </w:p>
        </w:tc>
      </w:tr>
      <w:tr w:rsidR="005A5693" w14:paraId="55D31AC4" w14:textId="77777777">
        <w:trPr>
          <w:jc w:val="center"/>
        </w:trPr>
        <w:tc>
          <w:tcPr>
            <w:tcW w:w="2570" w:type="dxa"/>
            <w:tcMar>
              <w:top w:w="70" w:type="dxa"/>
              <w:left w:w="90" w:type="dxa"/>
              <w:bottom w:w="70" w:type="dxa"/>
              <w:right w:w="90" w:type="dxa"/>
            </w:tcMar>
            <w:vAlign w:val="center"/>
          </w:tcPr>
          <w:p w14:paraId="0E5CA3E2" w14:textId="77777777" w:rsidR="005A5693" w:rsidRDefault="00000000" w:rsidP="00160610">
            <w:r>
              <w:t>Fast-start gas and oil</w:t>
            </w:r>
          </w:p>
        </w:tc>
        <w:tc>
          <w:tcPr>
            <w:tcW w:w="2570" w:type="dxa"/>
            <w:tcMar>
              <w:top w:w="70" w:type="dxa"/>
              <w:left w:w="90" w:type="dxa"/>
              <w:bottom w:w="70" w:type="dxa"/>
              <w:right w:w="90" w:type="dxa"/>
            </w:tcMar>
            <w:vAlign w:val="center"/>
          </w:tcPr>
          <w:p w14:paraId="1307D013" w14:textId="77777777" w:rsidR="005A5693" w:rsidRDefault="00000000" w:rsidP="00160610">
            <w:r>
              <w:t>1,850</w:t>
            </w:r>
          </w:p>
        </w:tc>
        <w:tc>
          <w:tcPr>
            <w:tcW w:w="2570" w:type="dxa"/>
            <w:tcMar>
              <w:top w:w="70" w:type="dxa"/>
              <w:left w:w="90" w:type="dxa"/>
              <w:bottom w:w="70" w:type="dxa"/>
              <w:right w:w="90" w:type="dxa"/>
            </w:tcMar>
            <w:vAlign w:val="center"/>
          </w:tcPr>
          <w:p w14:paraId="2DC61A82" w14:textId="77777777" w:rsidR="005A5693" w:rsidRDefault="00000000" w:rsidP="00160610">
            <w:r>
              <w:t>1,850</w:t>
            </w:r>
          </w:p>
        </w:tc>
        <w:tc>
          <w:tcPr>
            <w:tcW w:w="2570" w:type="dxa"/>
            <w:tcMar>
              <w:top w:w="70" w:type="dxa"/>
              <w:left w:w="90" w:type="dxa"/>
              <w:bottom w:w="70" w:type="dxa"/>
              <w:right w:w="90" w:type="dxa"/>
            </w:tcMar>
            <w:vAlign w:val="center"/>
          </w:tcPr>
          <w:p w14:paraId="23F3AA25" w14:textId="77777777" w:rsidR="005A5693" w:rsidRDefault="00000000" w:rsidP="00160610">
            <w:r>
              <w:t>High cost; 20-60 minute startup</w:t>
            </w:r>
          </w:p>
        </w:tc>
      </w:tr>
      <w:tr w:rsidR="005A5693" w14:paraId="22EA8D4A" w14:textId="77777777">
        <w:trPr>
          <w:jc w:val="center"/>
        </w:trPr>
        <w:tc>
          <w:tcPr>
            <w:tcW w:w="2570" w:type="dxa"/>
            <w:tcMar>
              <w:top w:w="70" w:type="dxa"/>
              <w:left w:w="90" w:type="dxa"/>
              <w:bottom w:w="70" w:type="dxa"/>
              <w:right w:w="90" w:type="dxa"/>
            </w:tcMar>
            <w:vAlign w:val="center"/>
          </w:tcPr>
          <w:p w14:paraId="1EB6BC6E" w14:textId="77777777" w:rsidR="005A5693" w:rsidRDefault="00000000" w:rsidP="00160610">
            <w:r>
              <w:t>Wind</w:t>
            </w:r>
          </w:p>
        </w:tc>
        <w:tc>
          <w:tcPr>
            <w:tcW w:w="2570" w:type="dxa"/>
            <w:tcMar>
              <w:top w:w="70" w:type="dxa"/>
              <w:left w:w="90" w:type="dxa"/>
              <w:bottom w:w="70" w:type="dxa"/>
              <w:right w:w="90" w:type="dxa"/>
            </w:tcMar>
            <w:vAlign w:val="center"/>
          </w:tcPr>
          <w:p w14:paraId="636778AA" w14:textId="77777777" w:rsidR="005A5693" w:rsidRDefault="00000000" w:rsidP="00160610">
            <w:r>
              <w:t>3,050</w:t>
            </w:r>
          </w:p>
        </w:tc>
        <w:tc>
          <w:tcPr>
            <w:tcW w:w="2570" w:type="dxa"/>
            <w:tcMar>
              <w:top w:w="70" w:type="dxa"/>
              <w:left w:w="90" w:type="dxa"/>
              <w:bottom w:w="70" w:type="dxa"/>
              <w:right w:w="90" w:type="dxa"/>
            </w:tcMar>
            <w:vAlign w:val="center"/>
          </w:tcPr>
          <w:p w14:paraId="138CEE26" w14:textId="77777777" w:rsidR="005A5693" w:rsidRDefault="00000000" w:rsidP="00160610">
            <w:r>
              <w:t>2,200</w:t>
            </w:r>
          </w:p>
        </w:tc>
        <w:tc>
          <w:tcPr>
            <w:tcW w:w="2570" w:type="dxa"/>
            <w:tcMar>
              <w:top w:w="70" w:type="dxa"/>
              <w:left w:w="90" w:type="dxa"/>
              <w:bottom w:w="70" w:type="dxa"/>
              <w:right w:w="90" w:type="dxa"/>
            </w:tcMar>
            <w:vAlign w:val="center"/>
          </w:tcPr>
          <w:p w14:paraId="2098D9DC" w14:textId="77777777" w:rsidR="005A5693" w:rsidRDefault="00000000" w:rsidP="00160610">
            <w:r>
              <w:t>Front may reduce output before peak</w:t>
            </w:r>
          </w:p>
        </w:tc>
      </w:tr>
      <w:tr w:rsidR="005A5693" w14:paraId="36C8AF58" w14:textId="77777777">
        <w:trPr>
          <w:jc w:val="center"/>
        </w:trPr>
        <w:tc>
          <w:tcPr>
            <w:tcW w:w="2570" w:type="dxa"/>
            <w:tcMar>
              <w:top w:w="70" w:type="dxa"/>
              <w:left w:w="90" w:type="dxa"/>
              <w:bottom w:w="70" w:type="dxa"/>
              <w:right w:w="90" w:type="dxa"/>
            </w:tcMar>
            <w:vAlign w:val="center"/>
          </w:tcPr>
          <w:p w14:paraId="1B3B047C" w14:textId="77777777" w:rsidR="005A5693" w:rsidRDefault="00000000" w:rsidP="00160610">
            <w:r>
              <w:t>Solar</w:t>
            </w:r>
          </w:p>
        </w:tc>
        <w:tc>
          <w:tcPr>
            <w:tcW w:w="2570" w:type="dxa"/>
            <w:tcMar>
              <w:top w:w="70" w:type="dxa"/>
              <w:left w:w="90" w:type="dxa"/>
              <w:bottom w:w="70" w:type="dxa"/>
              <w:right w:w="90" w:type="dxa"/>
            </w:tcMar>
            <w:vAlign w:val="center"/>
          </w:tcPr>
          <w:p w14:paraId="4227D027" w14:textId="77777777" w:rsidR="005A5693" w:rsidRDefault="00000000" w:rsidP="00160610">
            <w:r>
              <w:t>3,600</w:t>
            </w:r>
          </w:p>
        </w:tc>
        <w:tc>
          <w:tcPr>
            <w:tcW w:w="2570" w:type="dxa"/>
            <w:tcMar>
              <w:top w:w="70" w:type="dxa"/>
              <w:left w:w="90" w:type="dxa"/>
              <w:bottom w:w="70" w:type="dxa"/>
              <w:right w:w="90" w:type="dxa"/>
            </w:tcMar>
            <w:vAlign w:val="center"/>
          </w:tcPr>
          <w:p w14:paraId="0C695079" w14:textId="77777777" w:rsidR="005A5693" w:rsidRDefault="00000000" w:rsidP="00160610">
            <w:r>
              <w:t>2,300</w:t>
            </w:r>
          </w:p>
        </w:tc>
        <w:tc>
          <w:tcPr>
            <w:tcW w:w="2570" w:type="dxa"/>
            <w:tcMar>
              <w:top w:w="70" w:type="dxa"/>
              <w:left w:w="90" w:type="dxa"/>
              <w:bottom w:w="70" w:type="dxa"/>
              <w:right w:w="90" w:type="dxa"/>
            </w:tcMar>
            <w:vAlign w:val="center"/>
          </w:tcPr>
          <w:p w14:paraId="3F40DF70" w14:textId="77777777" w:rsidR="005A5693" w:rsidRDefault="00000000" w:rsidP="00160610">
            <w:r>
              <w:t>Thunderstorms could arrive early</w:t>
            </w:r>
          </w:p>
        </w:tc>
      </w:tr>
      <w:tr w:rsidR="005A5693" w14:paraId="43C293BB" w14:textId="77777777">
        <w:trPr>
          <w:jc w:val="center"/>
        </w:trPr>
        <w:tc>
          <w:tcPr>
            <w:tcW w:w="2570" w:type="dxa"/>
            <w:tcMar>
              <w:top w:w="70" w:type="dxa"/>
              <w:left w:w="90" w:type="dxa"/>
              <w:bottom w:w="70" w:type="dxa"/>
              <w:right w:w="90" w:type="dxa"/>
            </w:tcMar>
            <w:vAlign w:val="center"/>
          </w:tcPr>
          <w:p w14:paraId="4BFB8CC6" w14:textId="77777777" w:rsidR="005A5693" w:rsidRDefault="00000000" w:rsidP="00160610">
            <w:r>
              <w:t>Hydro and imports</w:t>
            </w:r>
          </w:p>
        </w:tc>
        <w:tc>
          <w:tcPr>
            <w:tcW w:w="2570" w:type="dxa"/>
            <w:tcMar>
              <w:top w:w="70" w:type="dxa"/>
              <w:left w:w="90" w:type="dxa"/>
              <w:bottom w:w="70" w:type="dxa"/>
              <w:right w:w="90" w:type="dxa"/>
            </w:tcMar>
            <w:vAlign w:val="center"/>
          </w:tcPr>
          <w:p w14:paraId="0C545E8D" w14:textId="77777777" w:rsidR="005A5693" w:rsidRDefault="00000000" w:rsidP="00160610">
            <w:r>
              <w:t>2,150</w:t>
            </w:r>
          </w:p>
        </w:tc>
        <w:tc>
          <w:tcPr>
            <w:tcW w:w="2570" w:type="dxa"/>
            <w:tcMar>
              <w:top w:w="70" w:type="dxa"/>
              <w:left w:w="90" w:type="dxa"/>
              <w:bottom w:w="70" w:type="dxa"/>
              <w:right w:w="90" w:type="dxa"/>
            </w:tcMar>
            <w:vAlign w:val="center"/>
          </w:tcPr>
          <w:p w14:paraId="1BBBF9CD" w14:textId="77777777" w:rsidR="005A5693" w:rsidRDefault="00000000" w:rsidP="00160610">
            <w:r>
              <w:t>1,750</w:t>
            </w:r>
          </w:p>
        </w:tc>
        <w:tc>
          <w:tcPr>
            <w:tcW w:w="2570" w:type="dxa"/>
            <w:tcMar>
              <w:top w:w="70" w:type="dxa"/>
              <w:left w:w="90" w:type="dxa"/>
              <w:bottom w:w="70" w:type="dxa"/>
              <w:right w:w="90" w:type="dxa"/>
            </w:tcMar>
            <w:vAlign w:val="center"/>
          </w:tcPr>
          <w:p w14:paraId="156AF841" w14:textId="77777777" w:rsidR="005A5693" w:rsidRDefault="00000000" w:rsidP="00160610">
            <w:r>
              <w:t>Neighboring regions are also tight</w:t>
            </w:r>
          </w:p>
        </w:tc>
      </w:tr>
      <w:tr w:rsidR="005A5693" w14:paraId="227CE004" w14:textId="77777777">
        <w:trPr>
          <w:jc w:val="center"/>
        </w:trPr>
        <w:tc>
          <w:tcPr>
            <w:tcW w:w="2570" w:type="dxa"/>
            <w:tcMar>
              <w:top w:w="70" w:type="dxa"/>
              <w:left w:w="90" w:type="dxa"/>
              <w:bottom w:w="70" w:type="dxa"/>
              <w:right w:w="90" w:type="dxa"/>
            </w:tcMar>
            <w:vAlign w:val="center"/>
          </w:tcPr>
          <w:p w14:paraId="1AAA36AA" w14:textId="77777777" w:rsidR="005A5693" w:rsidRDefault="00000000" w:rsidP="00160610">
            <w:r>
              <w:t>Battery discharge available</w:t>
            </w:r>
          </w:p>
        </w:tc>
        <w:tc>
          <w:tcPr>
            <w:tcW w:w="2570" w:type="dxa"/>
            <w:tcMar>
              <w:top w:w="70" w:type="dxa"/>
              <w:left w:w="90" w:type="dxa"/>
              <w:bottom w:w="70" w:type="dxa"/>
              <w:right w:w="90" w:type="dxa"/>
            </w:tcMar>
            <w:vAlign w:val="center"/>
          </w:tcPr>
          <w:p w14:paraId="0EFFE769" w14:textId="77777777" w:rsidR="005A5693" w:rsidRDefault="00000000" w:rsidP="00160610">
            <w:r>
              <w:t>1,650</w:t>
            </w:r>
          </w:p>
        </w:tc>
        <w:tc>
          <w:tcPr>
            <w:tcW w:w="2570" w:type="dxa"/>
            <w:tcMar>
              <w:top w:w="70" w:type="dxa"/>
              <w:left w:w="90" w:type="dxa"/>
              <w:bottom w:w="70" w:type="dxa"/>
              <w:right w:w="90" w:type="dxa"/>
            </w:tcMar>
            <w:vAlign w:val="center"/>
          </w:tcPr>
          <w:p w14:paraId="0A5D5DD9" w14:textId="77777777" w:rsidR="005A5693" w:rsidRDefault="00000000" w:rsidP="00160610">
            <w:r>
              <w:t>1,650</w:t>
            </w:r>
          </w:p>
        </w:tc>
        <w:tc>
          <w:tcPr>
            <w:tcW w:w="2570" w:type="dxa"/>
            <w:tcMar>
              <w:top w:w="70" w:type="dxa"/>
              <w:left w:w="90" w:type="dxa"/>
              <w:bottom w:w="70" w:type="dxa"/>
              <w:right w:w="90" w:type="dxa"/>
            </w:tcMar>
            <w:vAlign w:val="center"/>
          </w:tcPr>
          <w:p w14:paraId="3AE5F1E0" w14:textId="77777777" w:rsidR="005A5693" w:rsidRDefault="00000000" w:rsidP="00160610">
            <w:r>
              <w:t>Maximum four-hour duration</w:t>
            </w:r>
          </w:p>
        </w:tc>
      </w:tr>
      <w:tr w:rsidR="005A5693" w14:paraId="64B1B924" w14:textId="77777777">
        <w:trPr>
          <w:jc w:val="center"/>
        </w:trPr>
        <w:tc>
          <w:tcPr>
            <w:tcW w:w="2570" w:type="dxa"/>
            <w:tcMar>
              <w:top w:w="70" w:type="dxa"/>
              <w:left w:w="90" w:type="dxa"/>
              <w:bottom w:w="70" w:type="dxa"/>
              <w:right w:w="90" w:type="dxa"/>
            </w:tcMar>
            <w:vAlign w:val="center"/>
          </w:tcPr>
          <w:p w14:paraId="2BAAB16D" w14:textId="77777777" w:rsidR="005A5693" w:rsidRDefault="00000000" w:rsidP="00160610">
            <w:r>
              <w:t>Demand response under contract</w:t>
            </w:r>
          </w:p>
        </w:tc>
        <w:tc>
          <w:tcPr>
            <w:tcW w:w="2570" w:type="dxa"/>
            <w:tcMar>
              <w:top w:w="70" w:type="dxa"/>
              <w:left w:w="90" w:type="dxa"/>
              <w:bottom w:w="70" w:type="dxa"/>
              <w:right w:w="90" w:type="dxa"/>
            </w:tcMar>
            <w:vAlign w:val="center"/>
          </w:tcPr>
          <w:p w14:paraId="4E65705F" w14:textId="77777777" w:rsidR="005A5693" w:rsidRDefault="00000000" w:rsidP="00160610">
            <w:r>
              <w:t>900</w:t>
            </w:r>
          </w:p>
        </w:tc>
        <w:tc>
          <w:tcPr>
            <w:tcW w:w="2570" w:type="dxa"/>
            <w:tcMar>
              <w:top w:w="70" w:type="dxa"/>
              <w:left w:w="90" w:type="dxa"/>
              <w:bottom w:w="70" w:type="dxa"/>
              <w:right w:w="90" w:type="dxa"/>
            </w:tcMar>
            <w:vAlign w:val="center"/>
          </w:tcPr>
          <w:p w14:paraId="2494DB2F" w14:textId="77777777" w:rsidR="005A5693" w:rsidRDefault="00000000" w:rsidP="00160610">
            <w:r>
              <w:t>550</w:t>
            </w:r>
          </w:p>
        </w:tc>
        <w:tc>
          <w:tcPr>
            <w:tcW w:w="2570" w:type="dxa"/>
            <w:tcMar>
              <w:top w:w="70" w:type="dxa"/>
              <w:left w:w="90" w:type="dxa"/>
              <w:bottom w:w="70" w:type="dxa"/>
              <w:right w:w="90" w:type="dxa"/>
            </w:tcMar>
            <w:vAlign w:val="center"/>
          </w:tcPr>
          <w:p w14:paraId="7DA95869" w14:textId="77777777" w:rsidR="005A5693" w:rsidRDefault="00000000" w:rsidP="00160610">
            <w:r>
              <w:t>Participation not guaranteed</w:t>
            </w:r>
          </w:p>
        </w:tc>
      </w:tr>
      <w:tr w:rsidR="005A5693" w14:paraId="6403B8A6" w14:textId="77777777">
        <w:trPr>
          <w:jc w:val="center"/>
        </w:trPr>
        <w:tc>
          <w:tcPr>
            <w:tcW w:w="2570" w:type="dxa"/>
            <w:tcMar>
              <w:top w:w="70" w:type="dxa"/>
              <w:left w:w="90" w:type="dxa"/>
              <w:bottom w:w="70" w:type="dxa"/>
              <w:right w:w="90" w:type="dxa"/>
            </w:tcMar>
            <w:vAlign w:val="center"/>
          </w:tcPr>
          <w:p w14:paraId="111883CE" w14:textId="77777777" w:rsidR="005A5693" w:rsidRDefault="00000000" w:rsidP="00160610">
            <w:r>
              <w:t>Total potential supply / response</w:t>
            </w:r>
          </w:p>
        </w:tc>
        <w:tc>
          <w:tcPr>
            <w:tcW w:w="2570" w:type="dxa"/>
            <w:tcMar>
              <w:top w:w="70" w:type="dxa"/>
              <w:left w:w="90" w:type="dxa"/>
              <w:bottom w:w="70" w:type="dxa"/>
              <w:right w:w="90" w:type="dxa"/>
            </w:tcMar>
            <w:vAlign w:val="center"/>
          </w:tcPr>
          <w:p w14:paraId="7485349F" w14:textId="77777777" w:rsidR="005A5693" w:rsidRDefault="00000000" w:rsidP="00160610">
            <w:r>
              <w:t>32,250</w:t>
            </w:r>
          </w:p>
        </w:tc>
        <w:tc>
          <w:tcPr>
            <w:tcW w:w="2570" w:type="dxa"/>
            <w:tcMar>
              <w:top w:w="70" w:type="dxa"/>
              <w:left w:w="90" w:type="dxa"/>
              <w:bottom w:w="70" w:type="dxa"/>
              <w:right w:w="90" w:type="dxa"/>
            </w:tcMar>
            <w:vAlign w:val="center"/>
          </w:tcPr>
          <w:p w14:paraId="3540C035" w14:textId="77777777" w:rsidR="005A5693" w:rsidRDefault="00000000" w:rsidP="00160610">
            <w:r>
              <w:t>28,330</w:t>
            </w:r>
          </w:p>
        </w:tc>
        <w:tc>
          <w:tcPr>
            <w:tcW w:w="2570" w:type="dxa"/>
            <w:tcMar>
              <w:top w:w="70" w:type="dxa"/>
              <w:left w:w="90" w:type="dxa"/>
              <w:bottom w:w="70" w:type="dxa"/>
              <w:right w:w="90" w:type="dxa"/>
            </w:tcMar>
            <w:vAlign w:val="center"/>
          </w:tcPr>
          <w:p w14:paraId="101A8241" w14:textId="77777777" w:rsidR="005A5693" w:rsidRDefault="00000000" w:rsidP="00160610">
            <w:r>
              <w:t>Downside case implies a material shortfall</w:t>
            </w:r>
          </w:p>
        </w:tc>
      </w:tr>
    </w:tbl>
    <w:p w14:paraId="7DCFAB9E" w14:textId="77777777" w:rsidR="005A5693" w:rsidRDefault="00000000">
      <w:pPr>
        <w:pStyle w:val="ExhibitNote"/>
      </w:pPr>
      <w:r>
        <w:t>The downside case combines adverse assumptions and is not a formal probability forecast.</w:t>
      </w:r>
    </w:p>
    <w:p w14:paraId="22F7BB25" w14:textId="77777777" w:rsidR="005A5693" w:rsidRDefault="00000000" w:rsidP="00160610">
      <w:pPr>
        <w:pStyle w:val="Heading1"/>
      </w:pPr>
      <w:r>
        <w:t>The Cost of Being Ready</w:t>
      </w:r>
    </w:p>
    <w:p w14:paraId="14D33FE7" w14:textId="77777777" w:rsidR="005A5693" w:rsidRDefault="00000000" w:rsidP="00160610">
      <w:r>
        <w:t>Reliability had historically dominated BRSO's operating culture. Yet customers and regulators were increasingly concerned about cost. The region's average wholesale energy price had risen from $34 per megawatt-hour in 2022 to $58 in 2025. Capacity payments - made to ensure resources were available when needed - were projected to triple in the next auction. Retail bills also included transmission investments needed to connect new generation and serve large loads.</w:t>
      </w:r>
    </w:p>
    <w:p w14:paraId="07474302" w14:textId="77777777" w:rsidR="005A5693" w:rsidRDefault="00000000" w:rsidP="00160610">
      <w:r>
        <w:t>The most reliable action was often not the least expensive. Committing too many thermal generators protected against forecast errors but forced customers to pay startup and minimum-run costs even if demand or renewable output turned out favorably. Committing too few units exposed the system to volatile real-time prices and emergency shortages. A battery could avoid starting a peaker, but discharging it at 4:00 p.m. might leave no stored energy at 7:30 p.m. A demand-response call could protect reliability but interrupt production at factories and reduce confidence in the program if called too often.</w:t>
      </w:r>
    </w:p>
    <w:p w14:paraId="53E25F25" w14:textId="77777777" w:rsidR="005A5693" w:rsidRDefault="00000000" w:rsidP="00160610">
      <w:r>
        <w:t>Environmental consequences were also uneven. BRSO's oil peakers emitted far more carbon dioxide and local pollutants than gas generation. A proposed 900-MW gas plant would improve reliability but could operate for thirty years. A larger battery portfolio avoided direct emissions but required enough surplus energy to charge, and four-hour batteries could not cover a multi-day winter shortage. New transmission could unlock wind resources, but permitting and construction were expected to take seven to ten years.</w:t>
      </w:r>
    </w:p>
    <w:p w14:paraId="5890CEA0" w14:textId="77777777" w:rsidR="00160610" w:rsidRDefault="00160610">
      <w:pPr>
        <w:spacing w:after="200" w:line="276" w:lineRule="auto"/>
        <w:rPr>
          <w:rFonts w:eastAsiaTheme="minorEastAsia"/>
          <w:b/>
          <w:color w:val="183B4E"/>
          <w:sz w:val="19"/>
        </w:rPr>
      </w:pPr>
      <w:r>
        <w:br w:type="page"/>
      </w:r>
    </w:p>
    <w:p w14:paraId="2E68E9DB" w14:textId="4E3B6B51" w:rsidR="005A5693" w:rsidRDefault="00000000">
      <w:pPr>
        <w:pStyle w:val="ExhibitTitle"/>
      </w:pPr>
      <w:r>
        <w:lastRenderedPageBreak/>
        <w:t>Exhibit 3. Selected operating alternatives</w:t>
      </w:r>
    </w:p>
    <w:tbl>
      <w:tblPr>
        <w:tblStyle w:val="TableGrid"/>
        <w:tblW w:w="0" w:type="auto"/>
        <w:jc w:val="center"/>
        <w:tblLook w:val="04A0" w:firstRow="1" w:lastRow="0" w:firstColumn="1" w:lastColumn="0" w:noHBand="0" w:noVBand="1"/>
      </w:tblPr>
      <w:tblGrid>
        <w:gridCol w:w="2568"/>
        <w:gridCol w:w="2568"/>
        <w:gridCol w:w="2568"/>
        <w:gridCol w:w="2568"/>
      </w:tblGrid>
      <w:tr w:rsidR="005A5693" w14:paraId="78663C90" w14:textId="77777777">
        <w:trPr>
          <w:tblHeader/>
          <w:jc w:val="center"/>
        </w:trPr>
        <w:tc>
          <w:tcPr>
            <w:tcW w:w="2570" w:type="dxa"/>
            <w:shd w:val="clear" w:color="auto" w:fill="D9EAF1"/>
            <w:tcMar>
              <w:top w:w="70" w:type="dxa"/>
              <w:left w:w="90" w:type="dxa"/>
              <w:bottom w:w="70" w:type="dxa"/>
              <w:right w:w="90" w:type="dxa"/>
            </w:tcMar>
            <w:vAlign w:val="center"/>
          </w:tcPr>
          <w:p w14:paraId="09E0411E" w14:textId="77777777" w:rsidR="005A5693" w:rsidRDefault="00000000" w:rsidP="00160610">
            <w:r>
              <w:t>Alternative</w:t>
            </w:r>
          </w:p>
        </w:tc>
        <w:tc>
          <w:tcPr>
            <w:tcW w:w="2570" w:type="dxa"/>
            <w:shd w:val="clear" w:color="auto" w:fill="D9EAF1"/>
            <w:tcMar>
              <w:top w:w="70" w:type="dxa"/>
              <w:left w:w="90" w:type="dxa"/>
              <w:bottom w:w="70" w:type="dxa"/>
              <w:right w:w="90" w:type="dxa"/>
            </w:tcMar>
            <w:vAlign w:val="center"/>
          </w:tcPr>
          <w:p w14:paraId="7B2EC51B" w14:textId="77777777" w:rsidR="005A5693" w:rsidRDefault="00000000" w:rsidP="00160610">
            <w:r>
              <w:t>Approx. variable cost</w:t>
            </w:r>
          </w:p>
        </w:tc>
        <w:tc>
          <w:tcPr>
            <w:tcW w:w="2570" w:type="dxa"/>
            <w:shd w:val="clear" w:color="auto" w:fill="D9EAF1"/>
            <w:tcMar>
              <w:top w:w="70" w:type="dxa"/>
              <w:left w:w="90" w:type="dxa"/>
              <w:bottom w:w="70" w:type="dxa"/>
              <w:right w:w="90" w:type="dxa"/>
            </w:tcMar>
            <w:vAlign w:val="center"/>
          </w:tcPr>
          <w:p w14:paraId="4C4C9944" w14:textId="77777777" w:rsidR="005A5693" w:rsidRDefault="00000000" w:rsidP="00160610">
            <w:r>
              <w:t>Response time</w:t>
            </w:r>
          </w:p>
        </w:tc>
        <w:tc>
          <w:tcPr>
            <w:tcW w:w="2570" w:type="dxa"/>
            <w:shd w:val="clear" w:color="auto" w:fill="D9EAF1"/>
            <w:tcMar>
              <w:top w:w="70" w:type="dxa"/>
              <w:left w:w="90" w:type="dxa"/>
              <w:bottom w:w="70" w:type="dxa"/>
              <w:right w:w="90" w:type="dxa"/>
            </w:tcMar>
            <w:vAlign w:val="center"/>
          </w:tcPr>
          <w:p w14:paraId="31A0944E" w14:textId="77777777" w:rsidR="005A5693" w:rsidRDefault="00000000" w:rsidP="00160610">
            <w:r>
              <w:t>Duration / constraint</w:t>
            </w:r>
          </w:p>
        </w:tc>
      </w:tr>
      <w:tr w:rsidR="005A5693" w14:paraId="127E45DB" w14:textId="77777777">
        <w:trPr>
          <w:jc w:val="center"/>
        </w:trPr>
        <w:tc>
          <w:tcPr>
            <w:tcW w:w="2570" w:type="dxa"/>
            <w:tcMar>
              <w:top w:w="70" w:type="dxa"/>
              <w:left w:w="90" w:type="dxa"/>
              <w:bottom w:w="70" w:type="dxa"/>
              <w:right w:w="90" w:type="dxa"/>
            </w:tcMar>
            <w:vAlign w:val="center"/>
          </w:tcPr>
          <w:p w14:paraId="052E646A" w14:textId="77777777" w:rsidR="005A5693" w:rsidRDefault="00000000" w:rsidP="00160610">
            <w:r>
              <w:t>Combined-cycle gas</w:t>
            </w:r>
          </w:p>
        </w:tc>
        <w:tc>
          <w:tcPr>
            <w:tcW w:w="2570" w:type="dxa"/>
            <w:tcMar>
              <w:top w:w="70" w:type="dxa"/>
              <w:left w:w="90" w:type="dxa"/>
              <w:bottom w:w="70" w:type="dxa"/>
              <w:right w:w="90" w:type="dxa"/>
            </w:tcMar>
            <w:vAlign w:val="center"/>
          </w:tcPr>
          <w:p w14:paraId="5FCEF2F9" w14:textId="77777777" w:rsidR="005A5693" w:rsidRDefault="00000000" w:rsidP="00160610">
            <w:r>
              <w:t>$42-$78/MWh</w:t>
            </w:r>
          </w:p>
        </w:tc>
        <w:tc>
          <w:tcPr>
            <w:tcW w:w="2570" w:type="dxa"/>
            <w:tcMar>
              <w:top w:w="70" w:type="dxa"/>
              <w:left w:w="90" w:type="dxa"/>
              <w:bottom w:w="70" w:type="dxa"/>
              <w:right w:w="90" w:type="dxa"/>
            </w:tcMar>
            <w:vAlign w:val="center"/>
          </w:tcPr>
          <w:p w14:paraId="214C2AB4" w14:textId="77777777" w:rsidR="005A5693" w:rsidRDefault="00000000" w:rsidP="00160610">
            <w:r>
              <w:t>10-60 minutes</w:t>
            </w:r>
          </w:p>
        </w:tc>
        <w:tc>
          <w:tcPr>
            <w:tcW w:w="2570" w:type="dxa"/>
            <w:tcMar>
              <w:top w:w="70" w:type="dxa"/>
              <w:left w:w="90" w:type="dxa"/>
              <w:bottom w:w="70" w:type="dxa"/>
              <w:right w:w="90" w:type="dxa"/>
            </w:tcMar>
            <w:vAlign w:val="center"/>
          </w:tcPr>
          <w:p w14:paraId="020EF29E" w14:textId="77777777" w:rsidR="005A5693" w:rsidRDefault="00000000" w:rsidP="00160610">
            <w:r>
              <w:t>Gas pipeline and unit availability</w:t>
            </w:r>
          </w:p>
        </w:tc>
      </w:tr>
      <w:tr w:rsidR="005A5693" w14:paraId="014471E7" w14:textId="77777777">
        <w:trPr>
          <w:jc w:val="center"/>
        </w:trPr>
        <w:tc>
          <w:tcPr>
            <w:tcW w:w="2570" w:type="dxa"/>
            <w:tcMar>
              <w:top w:w="70" w:type="dxa"/>
              <w:left w:w="90" w:type="dxa"/>
              <w:bottom w:w="70" w:type="dxa"/>
              <w:right w:w="90" w:type="dxa"/>
            </w:tcMar>
            <w:vAlign w:val="center"/>
          </w:tcPr>
          <w:p w14:paraId="114AADB8" w14:textId="77777777" w:rsidR="005A5693" w:rsidRDefault="00000000" w:rsidP="00160610">
            <w:r>
              <w:t>Simple-cycle gas</w:t>
            </w:r>
          </w:p>
        </w:tc>
        <w:tc>
          <w:tcPr>
            <w:tcW w:w="2570" w:type="dxa"/>
            <w:tcMar>
              <w:top w:w="70" w:type="dxa"/>
              <w:left w:w="90" w:type="dxa"/>
              <w:bottom w:w="70" w:type="dxa"/>
              <w:right w:w="90" w:type="dxa"/>
            </w:tcMar>
            <w:vAlign w:val="center"/>
          </w:tcPr>
          <w:p w14:paraId="78F71713" w14:textId="77777777" w:rsidR="005A5693" w:rsidRDefault="00000000" w:rsidP="00160610">
            <w:r>
              <w:t>$85-$150/MWh</w:t>
            </w:r>
          </w:p>
        </w:tc>
        <w:tc>
          <w:tcPr>
            <w:tcW w:w="2570" w:type="dxa"/>
            <w:tcMar>
              <w:top w:w="70" w:type="dxa"/>
              <w:left w:w="90" w:type="dxa"/>
              <w:bottom w:w="70" w:type="dxa"/>
              <w:right w:w="90" w:type="dxa"/>
            </w:tcMar>
            <w:vAlign w:val="center"/>
          </w:tcPr>
          <w:p w14:paraId="3A3D2CB0" w14:textId="77777777" w:rsidR="005A5693" w:rsidRDefault="00000000" w:rsidP="00160610">
            <w:r>
              <w:t>10-20 minutes</w:t>
            </w:r>
          </w:p>
        </w:tc>
        <w:tc>
          <w:tcPr>
            <w:tcW w:w="2570" w:type="dxa"/>
            <w:tcMar>
              <w:top w:w="70" w:type="dxa"/>
              <w:left w:w="90" w:type="dxa"/>
              <w:bottom w:w="70" w:type="dxa"/>
              <w:right w:w="90" w:type="dxa"/>
            </w:tcMar>
            <w:vAlign w:val="center"/>
          </w:tcPr>
          <w:p w14:paraId="57E82E48" w14:textId="77777777" w:rsidR="005A5693" w:rsidRDefault="00000000" w:rsidP="00160610">
            <w:r>
              <w:t>High fuel cost and emissions</w:t>
            </w:r>
          </w:p>
        </w:tc>
      </w:tr>
      <w:tr w:rsidR="005A5693" w14:paraId="458F3282" w14:textId="77777777">
        <w:trPr>
          <w:jc w:val="center"/>
        </w:trPr>
        <w:tc>
          <w:tcPr>
            <w:tcW w:w="2570" w:type="dxa"/>
            <w:tcMar>
              <w:top w:w="70" w:type="dxa"/>
              <w:left w:w="90" w:type="dxa"/>
              <w:bottom w:w="70" w:type="dxa"/>
              <w:right w:w="90" w:type="dxa"/>
            </w:tcMar>
            <w:vAlign w:val="center"/>
          </w:tcPr>
          <w:p w14:paraId="39D2540E" w14:textId="77777777" w:rsidR="005A5693" w:rsidRDefault="00000000" w:rsidP="00160610">
            <w:r>
              <w:t>Oil peaker</w:t>
            </w:r>
          </w:p>
        </w:tc>
        <w:tc>
          <w:tcPr>
            <w:tcW w:w="2570" w:type="dxa"/>
            <w:tcMar>
              <w:top w:w="70" w:type="dxa"/>
              <w:left w:w="90" w:type="dxa"/>
              <w:bottom w:w="70" w:type="dxa"/>
              <w:right w:w="90" w:type="dxa"/>
            </w:tcMar>
            <w:vAlign w:val="center"/>
          </w:tcPr>
          <w:p w14:paraId="54EF6C36" w14:textId="77777777" w:rsidR="005A5693" w:rsidRDefault="00000000" w:rsidP="00160610">
            <w:r>
              <w:t>$180-$320/MWh</w:t>
            </w:r>
          </w:p>
        </w:tc>
        <w:tc>
          <w:tcPr>
            <w:tcW w:w="2570" w:type="dxa"/>
            <w:tcMar>
              <w:top w:w="70" w:type="dxa"/>
              <w:left w:w="90" w:type="dxa"/>
              <w:bottom w:w="70" w:type="dxa"/>
              <w:right w:w="90" w:type="dxa"/>
            </w:tcMar>
            <w:vAlign w:val="center"/>
          </w:tcPr>
          <w:p w14:paraId="001731BB" w14:textId="77777777" w:rsidR="005A5693" w:rsidRDefault="00000000" w:rsidP="00160610">
            <w:r>
              <w:t>30-60 minutes</w:t>
            </w:r>
          </w:p>
        </w:tc>
        <w:tc>
          <w:tcPr>
            <w:tcW w:w="2570" w:type="dxa"/>
            <w:tcMar>
              <w:top w:w="70" w:type="dxa"/>
              <w:left w:w="90" w:type="dxa"/>
              <w:bottom w:w="70" w:type="dxa"/>
              <w:right w:w="90" w:type="dxa"/>
            </w:tcMar>
            <w:vAlign w:val="center"/>
          </w:tcPr>
          <w:p w14:paraId="14DB8BCF" w14:textId="77777777" w:rsidR="005A5693" w:rsidRDefault="00000000" w:rsidP="00160610">
            <w:r>
              <w:t>Highest emissions; limited fuel inventory</w:t>
            </w:r>
          </w:p>
        </w:tc>
      </w:tr>
      <w:tr w:rsidR="005A5693" w14:paraId="0809C293" w14:textId="77777777">
        <w:trPr>
          <w:jc w:val="center"/>
        </w:trPr>
        <w:tc>
          <w:tcPr>
            <w:tcW w:w="2570" w:type="dxa"/>
            <w:tcMar>
              <w:top w:w="70" w:type="dxa"/>
              <w:left w:w="90" w:type="dxa"/>
              <w:bottom w:w="70" w:type="dxa"/>
              <w:right w:w="90" w:type="dxa"/>
            </w:tcMar>
            <w:vAlign w:val="center"/>
          </w:tcPr>
          <w:p w14:paraId="2191701A" w14:textId="77777777" w:rsidR="005A5693" w:rsidRDefault="00000000" w:rsidP="00160610">
            <w:r>
              <w:t>Market import</w:t>
            </w:r>
          </w:p>
        </w:tc>
        <w:tc>
          <w:tcPr>
            <w:tcW w:w="2570" w:type="dxa"/>
            <w:tcMar>
              <w:top w:w="70" w:type="dxa"/>
              <w:left w:w="90" w:type="dxa"/>
              <w:bottom w:w="70" w:type="dxa"/>
              <w:right w:w="90" w:type="dxa"/>
            </w:tcMar>
            <w:vAlign w:val="center"/>
          </w:tcPr>
          <w:p w14:paraId="638652A9" w14:textId="77777777" w:rsidR="005A5693" w:rsidRDefault="00000000" w:rsidP="00160610">
            <w:r>
              <w:t>-$20 to $1,000+/MWh</w:t>
            </w:r>
          </w:p>
        </w:tc>
        <w:tc>
          <w:tcPr>
            <w:tcW w:w="2570" w:type="dxa"/>
            <w:tcMar>
              <w:top w:w="70" w:type="dxa"/>
              <w:left w:w="90" w:type="dxa"/>
              <w:bottom w:w="70" w:type="dxa"/>
              <w:right w:w="90" w:type="dxa"/>
            </w:tcMar>
            <w:vAlign w:val="center"/>
          </w:tcPr>
          <w:p w14:paraId="331E0698" w14:textId="77777777" w:rsidR="005A5693" w:rsidRDefault="00000000" w:rsidP="00160610">
            <w:r>
              <w:t>5 minutes</w:t>
            </w:r>
          </w:p>
        </w:tc>
        <w:tc>
          <w:tcPr>
            <w:tcW w:w="2570" w:type="dxa"/>
            <w:tcMar>
              <w:top w:w="70" w:type="dxa"/>
              <w:left w:w="90" w:type="dxa"/>
              <w:bottom w:w="70" w:type="dxa"/>
              <w:right w:w="90" w:type="dxa"/>
            </w:tcMar>
            <w:vAlign w:val="center"/>
          </w:tcPr>
          <w:p w14:paraId="21EFCFF6" w14:textId="77777777" w:rsidR="005A5693" w:rsidRDefault="00000000" w:rsidP="00160610">
            <w:r>
              <w:t>Price and transmission availability vary</w:t>
            </w:r>
          </w:p>
        </w:tc>
      </w:tr>
      <w:tr w:rsidR="005A5693" w14:paraId="203E72B7" w14:textId="77777777">
        <w:trPr>
          <w:jc w:val="center"/>
        </w:trPr>
        <w:tc>
          <w:tcPr>
            <w:tcW w:w="2570" w:type="dxa"/>
            <w:tcMar>
              <w:top w:w="70" w:type="dxa"/>
              <w:left w:w="90" w:type="dxa"/>
              <w:bottom w:w="70" w:type="dxa"/>
              <w:right w:w="90" w:type="dxa"/>
            </w:tcMar>
            <w:vAlign w:val="center"/>
          </w:tcPr>
          <w:p w14:paraId="797A2956" w14:textId="77777777" w:rsidR="005A5693" w:rsidRDefault="00000000" w:rsidP="00160610">
            <w:r>
              <w:t>Four-hour battery</w:t>
            </w:r>
          </w:p>
        </w:tc>
        <w:tc>
          <w:tcPr>
            <w:tcW w:w="2570" w:type="dxa"/>
            <w:tcMar>
              <w:top w:w="70" w:type="dxa"/>
              <w:left w:w="90" w:type="dxa"/>
              <w:bottom w:w="70" w:type="dxa"/>
              <w:right w:w="90" w:type="dxa"/>
            </w:tcMar>
            <w:vAlign w:val="center"/>
          </w:tcPr>
          <w:p w14:paraId="5E90C153" w14:textId="77777777" w:rsidR="005A5693" w:rsidRDefault="00000000" w:rsidP="00160610">
            <w:r>
              <w:t>Opportunity cost of stored energy</w:t>
            </w:r>
          </w:p>
        </w:tc>
        <w:tc>
          <w:tcPr>
            <w:tcW w:w="2570" w:type="dxa"/>
            <w:tcMar>
              <w:top w:w="70" w:type="dxa"/>
              <w:left w:w="90" w:type="dxa"/>
              <w:bottom w:w="70" w:type="dxa"/>
              <w:right w:w="90" w:type="dxa"/>
            </w:tcMar>
            <w:vAlign w:val="center"/>
          </w:tcPr>
          <w:p w14:paraId="72557B5E" w14:textId="77777777" w:rsidR="005A5693" w:rsidRDefault="00000000" w:rsidP="00160610">
            <w:r>
              <w:t>Seconds</w:t>
            </w:r>
          </w:p>
        </w:tc>
        <w:tc>
          <w:tcPr>
            <w:tcW w:w="2570" w:type="dxa"/>
            <w:tcMar>
              <w:top w:w="70" w:type="dxa"/>
              <w:left w:w="90" w:type="dxa"/>
              <w:bottom w:w="70" w:type="dxa"/>
              <w:right w:w="90" w:type="dxa"/>
            </w:tcMar>
            <w:vAlign w:val="center"/>
          </w:tcPr>
          <w:p w14:paraId="546ACCC5" w14:textId="77777777" w:rsidR="005A5693" w:rsidRDefault="00000000" w:rsidP="00160610">
            <w:r>
              <w:t>Energy depleted after sustained discharge</w:t>
            </w:r>
          </w:p>
        </w:tc>
      </w:tr>
      <w:tr w:rsidR="005A5693" w14:paraId="142E4324" w14:textId="77777777">
        <w:trPr>
          <w:jc w:val="center"/>
        </w:trPr>
        <w:tc>
          <w:tcPr>
            <w:tcW w:w="2570" w:type="dxa"/>
            <w:tcMar>
              <w:top w:w="70" w:type="dxa"/>
              <w:left w:w="90" w:type="dxa"/>
              <w:bottom w:w="70" w:type="dxa"/>
              <w:right w:w="90" w:type="dxa"/>
            </w:tcMar>
            <w:vAlign w:val="center"/>
          </w:tcPr>
          <w:p w14:paraId="16C3A575" w14:textId="77777777" w:rsidR="005A5693" w:rsidRDefault="00000000" w:rsidP="00160610">
            <w:r>
              <w:t>Industrial demand response</w:t>
            </w:r>
          </w:p>
        </w:tc>
        <w:tc>
          <w:tcPr>
            <w:tcW w:w="2570" w:type="dxa"/>
            <w:tcMar>
              <w:top w:w="70" w:type="dxa"/>
              <w:left w:w="90" w:type="dxa"/>
              <w:bottom w:w="70" w:type="dxa"/>
              <w:right w:w="90" w:type="dxa"/>
            </w:tcMar>
            <w:vAlign w:val="center"/>
          </w:tcPr>
          <w:p w14:paraId="6AAF3E36" w14:textId="77777777" w:rsidR="005A5693" w:rsidRDefault="00000000" w:rsidP="00160610">
            <w:r>
              <w:t>$250-$900/MWh curtailed</w:t>
            </w:r>
          </w:p>
        </w:tc>
        <w:tc>
          <w:tcPr>
            <w:tcW w:w="2570" w:type="dxa"/>
            <w:tcMar>
              <w:top w:w="70" w:type="dxa"/>
              <w:left w:w="90" w:type="dxa"/>
              <w:bottom w:w="70" w:type="dxa"/>
              <w:right w:w="90" w:type="dxa"/>
            </w:tcMar>
            <w:vAlign w:val="center"/>
          </w:tcPr>
          <w:p w14:paraId="5FF28D1C" w14:textId="77777777" w:rsidR="005A5693" w:rsidRDefault="00000000" w:rsidP="00160610">
            <w:r>
              <w:t>10-30 minutes</w:t>
            </w:r>
          </w:p>
        </w:tc>
        <w:tc>
          <w:tcPr>
            <w:tcW w:w="2570" w:type="dxa"/>
            <w:tcMar>
              <w:top w:w="70" w:type="dxa"/>
              <w:left w:w="90" w:type="dxa"/>
              <w:bottom w:w="70" w:type="dxa"/>
              <w:right w:w="90" w:type="dxa"/>
            </w:tcMar>
            <w:vAlign w:val="center"/>
          </w:tcPr>
          <w:p w14:paraId="771C4FCC" w14:textId="77777777" w:rsidR="005A5693" w:rsidRDefault="00000000" w:rsidP="00160610">
            <w:r>
              <w:t>Customer participation and production impact</w:t>
            </w:r>
          </w:p>
        </w:tc>
      </w:tr>
      <w:tr w:rsidR="005A5693" w14:paraId="4D24FA85" w14:textId="77777777">
        <w:trPr>
          <w:jc w:val="center"/>
        </w:trPr>
        <w:tc>
          <w:tcPr>
            <w:tcW w:w="2570" w:type="dxa"/>
            <w:tcMar>
              <w:top w:w="70" w:type="dxa"/>
              <w:left w:w="90" w:type="dxa"/>
              <w:bottom w:w="70" w:type="dxa"/>
              <w:right w:w="90" w:type="dxa"/>
            </w:tcMar>
            <w:vAlign w:val="center"/>
          </w:tcPr>
          <w:p w14:paraId="4DD283A2" w14:textId="77777777" w:rsidR="005A5693" w:rsidRDefault="00000000" w:rsidP="00160610">
            <w:r>
              <w:t>Controlled outage</w:t>
            </w:r>
          </w:p>
        </w:tc>
        <w:tc>
          <w:tcPr>
            <w:tcW w:w="2570" w:type="dxa"/>
            <w:tcMar>
              <w:top w:w="70" w:type="dxa"/>
              <w:left w:w="90" w:type="dxa"/>
              <w:bottom w:w="70" w:type="dxa"/>
              <w:right w:w="90" w:type="dxa"/>
            </w:tcMar>
            <w:vAlign w:val="center"/>
          </w:tcPr>
          <w:p w14:paraId="2010C99A" w14:textId="77777777" w:rsidR="005A5693" w:rsidRDefault="00000000" w:rsidP="00160610">
            <w:r>
              <w:t>Not valued as ordinary energy</w:t>
            </w:r>
          </w:p>
        </w:tc>
        <w:tc>
          <w:tcPr>
            <w:tcW w:w="2570" w:type="dxa"/>
            <w:tcMar>
              <w:top w:w="70" w:type="dxa"/>
              <w:left w:w="90" w:type="dxa"/>
              <w:bottom w:w="70" w:type="dxa"/>
              <w:right w:w="90" w:type="dxa"/>
            </w:tcMar>
            <w:vAlign w:val="center"/>
          </w:tcPr>
          <w:p w14:paraId="3F12D410" w14:textId="77777777" w:rsidR="005A5693" w:rsidRDefault="00000000" w:rsidP="00160610">
            <w:r>
              <w:t>Minutes</w:t>
            </w:r>
          </w:p>
        </w:tc>
        <w:tc>
          <w:tcPr>
            <w:tcW w:w="2570" w:type="dxa"/>
            <w:tcMar>
              <w:top w:w="70" w:type="dxa"/>
              <w:left w:w="90" w:type="dxa"/>
              <w:bottom w:w="70" w:type="dxa"/>
              <w:right w:w="90" w:type="dxa"/>
            </w:tcMar>
            <w:vAlign w:val="center"/>
          </w:tcPr>
          <w:p w14:paraId="505E4FB7" w14:textId="77777777" w:rsidR="005A5693" w:rsidRDefault="00000000" w:rsidP="00160610">
            <w:r>
              <w:t>Severe social, safety, and reputational cost</w:t>
            </w:r>
          </w:p>
        </w:tc>
      </w:tr>
    </w:tbl>
    <w:p w14:paraId="1EAB8E65" w14:textId="77777777" w:rsidR="005A5693" w:rsidRDefault="00000000">
      <w:pPr>
        <w:pStyle w:val="ExhibitNote"/>
      </w:pPr>
      <w:r>
        <w:t>Values are fictional planning estimates intended to illustrate differences in cost, speed, and endurance.</w:t>
      </w:r>
    </w:p>
    <w:p w14:paraId="36827682" w14:textId="77777777" w:rsidR="005A5693" w:rsidRDefault="00000000" w:rsidP="00160610">
      <w:pPr>
        <w:pStyle w:val="Heading1"/>
      </w:pPr>
      <w:r>
        <w:t>Investments That Shape Future Operations</w:t>
      </w:r>
    </w:p>
    <w:p w14:paraId="46092D72" w14:textId="77777777" w:rsidR="005A5693" w:rsidRDefault="00000000" w:rsidP="00160610">
      <w:r>
        <w:t>The July 22 operating problem was immediate, but the board had asked Marquez to recommend a resource strategy for the next decade. The staff had developed five initiatives: a 1,000-MW gas plant; 3,000 MW of additional four-hour batteries; a 500-mile transmission expansion connecting northern wind resources; advanced sensors and dynamic line ratings that might increase usable transmission capacity; and a large demand-flexibility program for data centers, manufacturers, commercial buildings, electric vehicles, and residential thermostats.</w:t>
      </w:r>
    </w:p>
    <w:p w14:paraId="69214E8B" w14:textId="77777777" w:rsidR="005A5693" w:rsidRDefault="00000000" w:rsidP="00160610">
      <w:r>
        <w:t>Each initiative depended on assumptions outside BRSO's control. Gas prices could remain moderate or rise sharply. Battery costs could continue falling, while supply-chain or safety requirements could increase them. Data centers might agree to flexible service, but only if interruption rules were predictable. Transmission could be delayed by landowners, environmental reviews, or state disagreement over who should pay. Small modular nuclear reactors and long-duration storage might become commercially viable, but their timing and costs remained uncertain.</w:t>
      </w:r>
    </w:p>
    <w:p w14:paraId="3DCF2C6C" w14:textId="77777777" w:rsidR="005A5693" w:rsidRDefault="00000000" w:rsidP="00160610">
      <w:r>
        <w:t>Regulators also had different priorities. Franklin wanted faster interconnection of data centers because of tax revenue and construction jobs. Monroe objected to paying for transmission built primarily to serve Franklin's growth. Easton wanted BRSO to meet stricter carbon targets and protect low-income customers from rate increases. Consumer advocates argued that large new loads should fund the capacity they required. Data-center developers countered that special charges would drive investment to other regions.</w:t>
      </w:r>
    </w:p>
    <w:p w14:paraId="4FE803B9" w14:textId="77777777" w:rsidR="005A5693" w:rsidRDefault="00000000" w:rsidP="00160610">
      <w:r>
        <w:br w:type="page"/>
      </w:r>
    </w:p>
    <w:p w14:paraId="12E3BDE8" w14:textId="77777777" w:rsidR="005A5693" w:rsidRDefault="00000000">
      <w:pPr>
        <w:pStyle w:val="ExhibitTitle"/>
      </w:pPr>
      <w:r>
        <w:lastRenderedPageBreak/>
        <w:t>Exhibit 4. Long-term initiatives under consideration</w:t>
      </w:r>
    </w:p>
    <w:tbl>
      <w:tblPr>
        <w:tblStyle w:val="TableGrid"/>
        <w:tblW w:w="0" w:type="auto"/>
        <w:jc w:val="center"/>
        <w:tblLook w:val="04A0" w:firstRow="1" w:lastRow="0" w:firstColumn="1" w:lastColumn="0" w:noHBand="0" w:noVBand="1"/>
      </w:tblPr>
      <w:tblGrid>
        <w:gridCol w:w="2569"/>
        <w:gridCol w:w="2568"/>
        <w:gridCol w:w="2567"/>
        <w:gridCol w:w="2568"/>
      </w:tblGrid>
      <w:tr w:rsidR="005A5693" w14:paraId="1D047FD3" w14:textId="77777777">
        <w:trPr>
          <w:tblHeader/>
          <w:jc w:val="center"/>
        </w:trPr>
        <w:tc>
          <w:tcPr>
            <w:tcW w:w="2570" w:type="dxa"/>
            <w:shd w:val="clear" w:color="auto" w:fill="D9EAF1"/>
            <w:tcMar>
              <w:top w:w="70" w:type="dxa"/>
              <w:left w:w="90" w:type="dxa"/>
              <w:bottom w:w="70" w:type="dxa"/>
              <w:right w:w="90" w:type="dxa"/>
            </w:tcMar>
            <w:vAlign w:val="center"/>
          </w:tcPr>
          <w:p w14:paraId="45F91DC3" w14:textId="77777777" w:rsidR="005A5693" w:rsidRDefault="00000000" w:rsidP="00160610">
            <w:r>
              <w:t>Initiative</w:t>
            </w:r>
          </w:p>
        </w:tc>
        <w:tc>
          <w:tcPr>
            <w:tcW w:w="2570" w:type="dxa"/>
            <w:shd w:val="clear" w:color="auto" w:fill="D9EAF1"/>
            <w:tcMar>
              <w:top w:w="70" w:type="dxa"/>
              <w:left w:w="90" w:type="dxa"/>
              <w:bottom w:w="70" w:type="dxa"/>
              <w:right w:w="90" w:type="dxa"/>
            </w:tcMar>
            <w:vAlign w:val="center"/>
          </w:tcPr>
          <w:p w14:paraId="00F78953" w14:textId="77777777" w:rsidR="005A5693" w:rsidRDefault="00000000" w:rsidP="00160610">
            <w:r>
              <w:t>Illustrative capital cost</w:t>
            </w:r>
          </w:p>
        </w:tc>
        <w:tc>
          <w:tcPr>
            <w:tcW w:w="2570" w:type="dxa"/>
            <w:shd w:val="clear" w:color="auto" w:fill="D9EAF1"/>
            <w:tcMar>
              <w:top w:w="70" w:type="dxa"/>
              <w:left w:w="90" w:type="dxa"/>
              <w:bottom w:w="70" w:type="dxa"/>
              <w:right w:w="90" w:type="dxa"/>
            </w:tcMar>
            <w:vAlign w:val="center"/>
          </w:tcPr>
          <w:p w14:paraId="335BF392" w14:textId="77777777" w:rsidR="005A5693" w:rsidRDefault="00000000" w:rsidP="00160610">
            <w:r>
              <w:t>Earliest service</w:t>
            </w:r>
          </w:p>
        </w:tc>
        <w:tc>
          <w:tcPr>
            <w:tcW w:w="2570" w:type="dxa"/>
            <w:shd w:val="clear" w:color="auto" w:fill="D9EAF1"/>
            <w:tcMar>
              <w:top w:w="70" w:type="dxa"/>
              <w:left w:w="90" w:type="dxa"/>
              <w:bottom w:w="70" w:type="dxa"/>
              <w:right w:w="90" w:type="dxa"/>
            </w:tcMar>
            <w:vAlign w:val="center"/>
          </w:tcPr>
          <w:p w14:paraId="699BE747" w14:textId="77777777" w:rsidR="005A5693" w:rsidRDefault="00000000" w:rsidP="00160610">
            <w:r>
              <w:t>Principal open question</w:t>
            </w:r>
          </w:p>
        </w:tc>
      </w:tr>
      <w:tr w:rsidR="005A5693" w14:paraId="42561A36" w14:textId="77777777">
        <w:trPr>
          <w:jc w:val="center"/>
        </w:trPr>
        <w:tc>
          <w:tcPr>
            <w:tcW w:w="2570" w:type="dxa"/>
            <w:tcMar>
              <w:top w:w="70" w:type="dxa"/>
              <w:left w:w="90" w:type="dxa"/>
              <w:bottom w:w="70" w:type="dxa"/>
              <w:right w:w="90" w:type="dxa"/>
            </w:tcMar>
            <w:vAlign w:val="center"/>
          </w:tcPr>
          <w:p w14:paraId="50A88889" w14:textId="77777777" w:rsidR="005A5693" w:rsidRDefault="00000000" w:rsidP="00160610">
            <w:r>
              <w:t>1,000-MW combined-cycle gas plant</w:t>
            </w:r>
          </w:p>
        </w:tc>
        <w:tc>
          <w:tcPr>
            <w:tcW w:w="2570" w:type="dxa"/>
            <w:tcMar>
              <w:top w:w="70" w:type="dxa"/>
              <w:left w:w="90" w:type="dxa"/>
              <w:bottom w:w="70" w:type="dxa"/>
              <w:right w:w="90" w:type="dxa"/>
            </w:tcMar>
            <w:vAlign w:val="center"/>
          </w:tcPr>
          <w:p w14:paraId="6C8AC32A" w14:textId="77777777" w:rsidR="005A5693" w:rsidRDefault="00000000" w:rsidP="00160610">
            <w:r>
              <w:t>$1.4 billion</w:t>
            </w:r>
          </w:p>
        </w:tc>
        <w:tc>
          <w:tcPr>
            <w:tcW w:w="2570" w:type="dxa"/>
            <w:tcMar>
              <w:top w:w="70" w:type="dxa"/>
              <w:left w:w="90" w:type="dxa"/>
              <w:bottom w:w="70" w:type="dxa"/>
              <w:right w:w="90" w:type="dxa"/>
            </w:tcMar>
            <w:vAlign w:val="center"/>
          </w:tcPr>
          <w:p w14:paraId="226E0278" w14:textId="77777777" w:rsidR="005A5693" w:rsidRDefault="00000000" w:rsidP="00160610">
            <w:r>
              <w:t>2030</w:t>
            </w:r>
          </w:p>
        </w:tc>
        <w:tc>
          <w:tcPr>
            <w:tcW w:w="2570" w:type="dxa"/>
            <w:tcMar>
              <w:top w:w="70" w:type="dxa"/>
              <w:left w:w="90" w:type="dxa"/>
              <w:bottom w:w="70" w:type="dxa"/>
              <w:right w:w="90" w:type="dxa"/>
            </w:tcMar>
            <w:vAlign w:val="center"/>
          </w:tcPr>
          <w:p w14:paraId="716171C2" w14:textId="77777777" w:rsidR="005A5693" w:rsidRDefault="00000000" w:rsidP="00160610">
            <w:r>
              <w:t>Fuel, emissions policy, and utilization</w:t>
            </w:r>
          </w:p>
        </w:tc>
      </w:tr>
      <w:tr w:rsidR="005A5693" w14:paraId="01447F72" w14:textId="77777777">
        <w:trPr>
          <w:jc w:val="center"/>
        </w:trPr>
        <w:tc>
          <w:tcPr>
            <w:tcW w:w="2570" w:type="dxa"/>
            <w:tcMar>
              <w:top w:w="70" w:type="dxa"/>
              <w:left w:w="90" w:type="dxa"/>
              <w:bottom w:w="70" w:type="dxa"/>
              <w:right w:w="90" w:type="dxa"/>
            </w:tcMar>
            <w:vAlign w:val="center"/>
          </w:tcPr>
          <w:p w14:paraId="7C385178" w14:textId="77777777" w:rsidR="005A5693" w:rsidRDefault="00000000" w:rsidP="00160610">
            <w:r>
              <w:t>3,000 MW / 12,000 MWh batteries</w:t>
            </w:r>
          </w:p>
        </w:tc>
        <w:tc>
          <w:tcPr>
            <w:tcW w:w="2570" w:type="dxa"/>
            <w:tcMar>
              <w:top w:w="70" w:type="dxa"/>
              <w:left w:w="90" w:type="dxa"/>
              <w:bottom w:w="70" w:type="dxa"/>
              <w:right w:w="90" w:type="dxa"/>
            </w:tcMar>
            <w:vAlign w:val="center"/>
          </w:tcPr>
          <w:p w14:paraId="179A7037" w14:textId="77777777" w:rsidR="005A5693" w:rsidRDefault="00000000" w:rsidP="00160610">
            <w:r>
              <w:t>$4.2 billion</w:t>
            </w:r>
          </w:p>
        </w:tc>
        <w:tc>
          <w:tcPr>
            <w:tcW w:w="2570" w:type="dxa"/>
            <w:tcMar>
              <w:top w:w="70" w:type="dxa"/>
              <w:left w:w="90" w:type="dxa"/>
              <w:bottom w:w="70" w:type="dxa"/>
              <w:right w:w="90" w:type="dxa"/>
            </w:tcMar>
            <w:vAlign w:val="center"/>
          </w:tcPr>
          <w:p w14:paraId="1ACFBF21" w14:textId="77777777" w:rsidR="005A5693" w:rsidRDefault="00000000" w:rsidP="00160610">
            <w:r>
              <w:t>2028-2031</w:t>
            </w:r>
          </w:p>
        </w:tc>
        <w:tc>
          <w:tcPr>
            <w:tcW w:w="2570" w:type="dxa"/>
            <w:tcMar>
              <w:top w:w="70" w:type="dxa"/>
              <w:left w:w="90" w:type="dxa"/>
              <w:bottom w:w="70" w:type="dxa"/>
              <w:right w:w="90" w:type="dxa"/>
            </w:tcMar>
            <w:vAlign w:val="center"/>
          </w:tcPr>
          <w:p w14:paraId="2EE423F7" w14:textId="77777777" w:rsidR="005A5693" w:rsidRDefault="00000000" w:rsidP="00160610">
            <w:r>
              <w:t>Value during long shortages and replacement cost</w:t>
            </w:r>
          </w:p>
        </w:tc>
      </w:tr>
      <w:tr w:rsidR="005A5693" w14:paraId="1BA04DD4" w14:textId="77777777">
        <w:trPr>
          <w:jc w:val="center"/>
        </w:trPr>
        <w:tc>
          <w:tcPr>
            <w:tcW w:w="2570" w:type="dxa"/>
            <w:tcMar>
              <w:top w:w="70" w:type="dxa"/>
              <w:left w:w="90" w:type="dxa"/>
              <w:bottom w:w="70" w:type="dxa"/>
              <w:right w:w="90" w:type="dxa"/>
            </w:tcMar>
            <w:vAlign w:val="center"/>
          </w:tcPr>
          <w:p w14:paraId="3BD9DB2E" w14:textId="77777777" w:rsidR="005A5693" w:rsidRDefault="00000000" w:rsidP="00160610">
            <w:r>
              <w:t>Northern transmission program</w:t>
            </w:r>
          </w:p>
        </w:tc>
        <w:tc>
          <w:tcPr>
            <w:tcW w:w="2570" w:type="dxa"/>
            <w:tcMar>
              <w:top w:w="70" w:type="dxa"/>
              <w:left w:w="90" w:type="dxa"/>
              <w:bottom w:w="70" w:type="dxa"/>
              <w:right w:w="90" w:type="dxa"/>
            </w:tcMar>
            <w:vAlign w:val="center"/>
          </w:tcPr>
          <w:p w14:paraId="2FBA5858" w14:textId="77777777" w:rsidR="005A5693" w:rsidRDefault="00000000" w:rsidP="00160610">
            <w:r>
              <w:t>$7.8 billion</w:t>
            </w:r>
          </w:p>
        </w:tc>
        <w:tc>
          <w:tcPr>
            <w:tcW w:w="2570" w:type="dxa"/>
            <w:tcMar>
              <w:top w:w="70" w:type="dxa"/>
              <w:left w:w="90" w:type="dxa"/>
              <w:bottom w:w="70" w:type="dxa"/>
              <w:right w:w="90" w:type="dxa"/>
            </w:tcMar>
            <w:vAlign w:val="center"/>
          </w:tcPr>
          <w:p w14:paraId="1ADBE4BD" w14:textId="77777777" w:rsidR="005A5693" w:rsidRDefault="00000000" w:rsidP="00160610">
            <w:r>
              <w:t>2034</w:t>
            </w:r>
          </w:p>
        </w:tc>
        <w:tc>
          <w:tcPr>
            <w:tcW w:w="2570" w:type="dxa"/>
            <w:tcMar>
              <w:top w:w="70" w:type="dxa"/>
              <w:left w:w="90" w:type="dxa"/>
              <w:bottom w:w="70" w:type="dxa"/>
              <w:right w:w="90" w:type="dxa"/>
            </w:tcMar>
            <w:vAlign w:val="center"/>
          </w:tcPr>
          <w:p w14:paraId="00E2E60E" w14:textId="77777777" w:rsidR="005A5693" w:rsidRDefault="00000000" w:rsidP="00160610">
            <w:r>
              <w:t>Permitting, allocation of costs, renewable buildout</w:t>
            </w:r>
          </w:p>
        </w:tc>
      </w:tr>
      <w:tr w:rsidR="005A5693" w14:paraId="1CF4D42F" w14:textId="77777777">
        <w:trPr>
          <w:jc w:val="center"/>
        </w:trPr>
        <w:tc>
          <w:tcPr>
            <w:tcW w:w="2570" w:type="dxa"/>
            <w:tcMar>
              <w:top w:w="70" w:type="dxa"/>
              <w:left w:w="90" w:type="dxa"/>
              <w:bottom w:w="70" w:type="dxa"/>
              <w:right w:w="90" w:type="dxa"/>
            </w:tcMar>
            <w:vAlign w:val="center"/>
          </w:tcPr>
          <w:p w14:paraId="6FD66DF8" w14:textId="77777777" w:rsidR="005A5693" w:rsidRDefault="00000000" w:rsidP="00160610">
            <w:r>
              <w:t>Sensors and dynamic line ratings</w:t>
            </w:r>
          </w:p>
        </w:tc>
        <w:tc>
          <w:tcPr>
            <w:tcW w:w="2570" w:type="dxa"/>
            <w:tcMar>
              <w:top w:w="70" w:type="dxa"/>
              <w:left w:w="90" w:type="dxa"/>
              <w:bottom w:w="70" w:type="dxa"/>
              <w:right w:w="90" w:type="dxa"/>
            </w:tcMar>
            <w:vAlign w:val="center"/>
          </w:tcPr>
          <w:p w14:paraId="1045B207" w14:textId="77777777" w:rsidR="005A5693" w:rsidRDefault="00000000" w:rsidP="00160610">
            <w:r>
              <w:t>$620 million</w:t>
            </w:r>
          </w:p>
        </w:tc>
        <w:tc>
          <w:tcPr>
            <w:tcW w:w="2570" w:type="dxa"/>
            <w:tcMar>
              <w:top w:w="70" w:type="dxa"/>
              <w:left w:w="90" w:type="dxa"/>
              <w:bottom w:w="70" w:type="dxa"/>
              <w:right w:w="90" w:type="dxa"/>
            </w:tcMar>
            <w:vAlign w:val="center"/>
          </w:tcPr>
          <w:p w14:paraId="5CCB7A34" w14:textId="77777777" w:rsidR="005A5693" w:rsidRDefault="00000000" w:rsidP="00160610">
            <w:r>
              <w:t>2028</w:t>
            </w:r>
          </w:p>
        </w:tc>
        <w:tc>
          <w:tcPr>
            <w:tcW w:w="2570" w:type="dxa"/>
            <w:tcMar>
              <w:top w:w="70" w:type="dxa"/>
              <w:left w:w="90" w:type="dxa"/>
              <w:bottom w:w="70" w:type="dxa"/>
              <w:right w:w="90" w:type="dxa"/>
            </w:tcMar>
            <w:vAlign w:val="center"/>
          </w:tcPr>
          <w:p w14:paraId="051BF78F" w14:textId="77777777" w:rsidR="005A5693" w:rsidRDefault="00000000" w:rsidP="00160610">
            <w:r>
              <w:t>How much dependable capacity is created</w:t>
            </w:r>
          </w:p>
        </w:tc>
      </w:tr>
      <w:tr w:rsidR="005A5693" w14:paraId="4F57BC19" w14:textId="77777777">
        <w:trPr>
          <w:jc w:val="center"/>
        </w:trPr>
        <w:tc>
          <w:tcPr>
            <w:tcW w:w="2570" w:type="dxa"/>
            <w:tcMar>
              <w:top w:w="70" w:type="dxa"/>
              <w:left w:w="90" w:type="dxa"/>
              <w:bottom w:w="70" w:type="dxa"/>
              <w:right w:w="90" w:type="dxa"/>
            </w:tcMar>
            <w:vAlign w:val="center"/>
          </w:tcPr>
          <w:p w14:paraId="777CE17E" w14:textId="77777777" w:rsidR="005A5693" w:rsidRDefault="00000000" w:rsidP="00160610">
            <w:r>
              <w:t>Flexible-load platform</w:t>
            </w:r>
          </w:p>
        </w:tc>
        <w:tc>
          <w:tcPr>
            <w:tcW w:w="2570" w:type="dxa"/>
            <w:tcMar>
              <w:top w:w="70" w:type="dxa"/>
              <w:left w:w="90" w:type="dxa"/>
              <w:bottom w:w="70" w:type="dxa"/>
              <w:right w:w="90" w:type="dxa"/>
            </w:tcMar>
            <w:vAlign w:val="center"/>
          </w:tcPr>
          <w:p w14:paraId="0CE3977D" w14:textId="77777777" w:rsidR="005A5693" w:rsidRDefault="00000000" w:rsidP="00160610">
            <w:r>
              <w:t>$850 million over 7 years</w:t>
            </w:r>
          </w:p>
        </w:tc>
        <w:tc>
          <w:tcPr>
            <w:tcW w:w="2570" w:type="dxa"/>
            <w:tcMar>
              <w:top w:w="70" w:type="dxa"/>
              <w:left w:w="90" w:type="dxa"/>
              <w:bottom w:w="70" w:type="dxa"/>
              <w:right w:w="90" w:type="dxa"/>
            </w:tcMar>
            <w:vAlign w:val="center"/>
          </w:tcPr>
          <w:p w14:paraId="12373B81" w14:textId="77777777" w:rsidR="005A5693" w:rsidRDefault="00000000" w:rsidP="00160610">
            <w:r>
              <w:t>2028</w:t>
            </w:r>
          </w:p>
        </w:tc>
        <w:tc>
          <w:tcPr>
            <w:tcW w:w="2570" w:type="dxa"/>
            <w:tcMar>
              <w:top w:w="70" w:type="dxa"/>
              <w:left w:w="90" w:type="dxa"/>
              <w:bottom w:w="70" w:type="dxa"/>
              <w:right w:w="90" w:type="dxa"/>
            </w:tcMar>
            <w:vAlign w:val="center"/>
          </w:tcPr>
          <w:p w14:paraId="6BF273F7" w14:textId="77777777" w:rsidR="005A5693" w:rsidRDefault="00000000" w:rsidP="00160610">
            <w:r>
              <w:t>Enrollment, response, cybersecurity, customer fatigue</w:t>
            </w:r>
          </w:p>
        </w:tc>
      </w:tr>
      <w:tr w:rsidR="005A5693" w14:paraId="6FA57028" w14:textId="77777777">
        <w:trPr>
          <w:jc w:val="center"/>
        </w:trPr>
        <w:tc>
          <w:tcPr>
            <w:tcW w:w="2570" w:type="dxa"/>
            <w:tcMar>
              <w:top w:w="70" w:type="dxa"/>
              <w:left w:w="90" w:type="dxa"/>
              <w:bottom w:w="70" w:type="dxa"/>
              <w:right w:w="90" w:type="dxa"/>
            </w:tcMar>
            <w:vAlign w:val="center"/>
          </w:tcPr>
          <w:p w14:paraId="73D7DE2D" w14:textId="77777777" w:rsidR="005A5693" w:rsidRDefault="00000000" w:rsidP="00160610">
            <w:r>
              <w:t>Long-duration storage demonstration</w:t>
            </w:r>
          </w:p>
        </w:tc>
        <w:tc>
          <w:tcPr>
            <w:tcW w:w="2570" w:type="dxa"/>
            <w:tcMar>
              <w:top w:w="70" w:type="dxa"/>
              <w:left w:w="90" w:type="dxa"/>
              <w:bottom w:w="70" w:type="dxa"/>
              <w:right w:w="90" w:type="dxa"/>
            </w:tcMar>
            <w:vAlign w:val="center"/>
          </w:tcPr>
          <w:p w14:paraId="3B734F0C" w14:textId="77777777" w:rsidR="005A5693" w:rsidRDefault="00000000" w:rsidP="00160610">
            <w:r>
              <w:t>$1.1 billion</w:t>
            </w:r>
          </w:p>
        </w:tc>
        <w:tc>
          <w:tcPr>
            <w:tcW w:w="2570" w:type="dxa"/>
            <w:tcMar>
              <w:top w:w="70" w:type="dxa"/>
              <w:left w:w="90" w:type="dxa"/>
              <w:bottom w:w="70" w:type="dxa"/>
              <w:right w:w="90" w:type="dxa"/>
            </w:tcMar>
            <w:vAlign w:val="center"/>
          </w:tcPr>
          <w:p w14:paraId="51AC4C03" w14:textId="77777777" w:rsidR="005A5693" w:rsidRDefault="00000000" w:rsidP="00160610">
            <w:r>
              <w:t>2031</w:t>
            </w:r>
          </w:p>
        </w:tc>
        <w:tc>
          <w:tcPr>
            <w:tcW w:w="2570" w:type="dxa"/>
            <w:tcMar>
              <w:top w:w="70" w:type="dxa"/>
              <w:left w:w="90" w:type="dxa"/>
              <w:bottom w:w="70" w:type="dxa"/>
              <w:right w:w="90" w:type="dxa"/>
            </w:tcMar>
            <w:vAlign w:val="center"/>
          </w:tcPr>
          <w:p w14:paraId="59ECE1F6" w14:textId="77777777" w:rsidR="005A5693" w:rsidRDefault="00000000" w:rsidP="00160610">
            <w:r>
              <w:t>Technology performance and commercial scalability</w:t>
            </w:r>
          </w:p>
        </w:tc>
      </w:tr>
    </w:tbl>
    <w:p w14:paraId="38CCADE9" w14:textId="77777777" w:rsidR="005A5693" w:rsidRDefault="00000000">
      <w:pPr>
        <w:pStyle w:val="ExhibitNote"/>
      </w:pPr>
      <w:r>
        <w:t>All costs and dates are fictional and would be subject to substantial uncertainty.</w:t>
      </w:r>
    </w:p>
    <w:p w14:paraId="1F389565" w14:textId="77777777" w:rsidR="005A5693" w:rsidRDefault="00000000" w:rsidP="00160610">
      <w:pPr>
        <w:pStyle w:val="Heading1"/>
      </w:pPr>
      <w:r>
        <w:t>The 2:00 P.M. Call</w:t>
      </w:r>
    </w:p>
    <w:p w14:paraId="58C7FDAF" w14:textId="77777777" w:rsidR="005A5693" w:rsidRDefault="00000000" w:rsidP="00160610">
      <w:r>
        <w:t>At 1:55 p.m., Riverbend's owner told BRSO that Unit 4 could probably remain online at 500 MW, but there was a 20 percent chance that vibration would force a complete shutdown before 7:00 p.m. Keeping the unit online might worsen equipment damage. The western weather service moved the expected thunderstorm arrival forward by forty-five minutes. Real-time import prices had doubled in fifteen minutes.</w:t>
      </w:r>
    </w:p>
    <w:p w14:paraId="0B5C130C" w14:textId="77777777" w:rsidR="005A5693" w:rsidRDefault="00000000" w:rsidP="00160610">
      <w:r>
        <w:t>The vice president of operations recommended starting both oil peakers immediately and preserving the batteries until after sunset. The market director preferred to buy imports and wait for better information, arguing that the oil units might run unnecessarily. The sustainability director proposed calling 600 MW of demand response before 4:00 p.m., but the industrial customer council had complained that BRSO had already called four events that summer. The reliability officer wanted authorization for all three actions.</w:t>
      </w:r>
    </w:p>
    <w:p w14:paraId="6653591F" w14:textId="77777777" w:rsidR="005A5693" w:rsidRDefault="00000000" w:rsidP="00160610">
      <w:r>
        <w:t>Marquez also knew that whatever happened would shape the investment debate. A smooth evening could be used to argue that batteries and flexible demand were sufficient. An emergency might strengthen the case for a gas plant or transmission expansion. Yet a single stressful day was not necessarily representative of the next twenty years.</w:t>
      </w:r>
    </w:p>
    <w:p w14:paraId="268EE915" w14:textId="77777777" w:rsidR="005A5693" w:rsidRDefault="00000000" w:rsidP="00160610">
      <w:r>
        <w:t>At 2:00 p.m., the control-room director asked for instructions. Marquez had to decide what to commit now, what to hold in reserve, and how much risk BRSO should accept while waiting for information that would arrive only after some options had disappeared.</w:t>
      </w:r>
    </w:p>
    <w:p w14:paraId="4A643D82" w14:textId="77777777" w:rsidR="00EF4274" w:rsidRDefault="00EF4274" w:rsidP="00EF4274">
      <w:pPr>
        <w:pStyle w:val="Heading1"/>
      </w:pPr>
      <w:r>
        <w:t>Framing questions</w:t>
      </w:r>
    </w:p>
    <w:p w14:paraId="02988543" w14:textId="77777777" w:rsidR="00EF4274" w:rsidRDefault="00EF4274" w:rsidP="00EF4274">
      <w:pPr>
        <w:pStyle w:val="ListParagraph"/>
        <w:numPr>
          <w:ilvl w:val="0"/>
          <w:numId w:val="11"/>
        </w:numPr>
        <w:spacing w:after="80"/>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303D176F" w14:textId="77777777" w:rsidR="00EF4274" w:rsidRDefault="00EF4274" w:rsidP="00EF4274">
      <w:pPr>
        <w:pStyle w:val="ListParagraph"/>
        <w:numPr>
          <w:ilvl w:val="0"/>
          <w:numId w:val="11"/>
        </w:numPr>
        <w:spacing w:after="80"/>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32B8CABB" w14:textId="77777777" w:rsidR="00EF4274" w:rsidRDefault="00EF4274" w:rsidP="00EF4274">
      <w:pPr>
        <w:pStyle w:val="ListParagraph"/>
        <w:numPr>
          <w:ilvl w:val="0"/>
          <w:numId w:val="11"/>
        </w:numPr>
        <w:spacing w:after="80"/>
      </w:pPr>
      <w:r>
        <w:lastRenderedPageBreak/>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76462466" w14:textId="77777777" w:rsidR="00EF4274" w:rsidRDefault="00EF4274" w:rsidP="00EF4274">
      <w:pPr>
        <w:pStyle w:val="ListParagraph"/>
        <w:numPr>
          <w:ilvl w:val="0"/>
          <w:numId w:val="11"/>
        </w:numPr>
        <w:spacing w:after="80"/>
      </w:pPr>
      <w:r>
        <w:t xml:space="preserve">What are the different sources of uncertainty?  Use the </w:t>
      </w:r>
      <w:hyperlink r:id="rId11" w:anchor="categories" w:history="1">
        <w:r w:rsidRPr="00B20FB6">
          <w:rPr>
            <w:rStyle w:val="Hyperlink"/>
          </w:rPr>
          <w:t>12 categories of uncertainty here as a guide</w:t>
        </w:r>
      </w:hyperlink>
      <w:r>
        <w:t>.</w:t>
      </w:r>
    </w:p>
    <w:p w14:paraId="7BEF4D4B" w14:textId="77777777" w:rsidR="00EF4274" w:rsidRDefault="00EF4274" w:rsidP="00EF4274">
      <w:pPr>
        <w:pStyle w:val="ListParagraph"/>
        <w:numPr>
          <w:ilvl w:val="0"/>
          <w:numId w:val="11"/>
        </w:numPr>
        <w:spacing w:after="80"/>
      </w:pPr>
      <w:r>
        <w:t>Repeat the exercise in (3), but this time using uncertainties instead of decisions.</w:t>
      </w:r>
    </w:p>
    <w:p w14:paraId="26753A59" w14:textId="77777777" w:rsidR="00EF4274" w:rsidRDefault="00EF4274" w:rsidP="00EF4274">
      <w:pPr>
        <w:pStyle w:val="ListParagraph"/>
        <w:numPr>
          <w:ilvl w:val="1"/>
          <w:numId w:val="11"/>
        </w:numPr>
        <w:spacing w:after="80"/>
      </w:pPr>
      <w:r>
        <w:t>Which sources of uncertainty would be captured using average performance over time?</w:t>
      </w:r>
    </w:p>
    <w:p w14:paraId="7A4C24CC" w14:textId="77777777" w:rsidR="00EF4274" w:rsidRDefault="00EF4274" w:rsidP="00EF4274">
      <w:pPr>
        <w:pStyle w:val="ListParagraph"/>
        <w:numPr>
          <w:ilvl w:val="1"/>
          <w:numId w:val="11"/>
        </w:numPr>
        <w:spacing w:after="80"/>
      </w:pPr>
      <w:r>
        <w:t>Which sources of uncertainty represent forms of risk that are not properly captured using averages?</w:t>
      </w:r>
    </w:p>
    <w:p w14:paraId="562C965A" w14:textId="77777777" w:rsidR="00EF4274" w:rsidRDefault="00EF4274" w:rsidP="00EF4274">
      <w:pPr>
        <w:pStyle w:val="ListParagraph"/>
        <w:numPr>
          <w:ilvl w:val="0"/>
          <w:numId w:val="11"/>
        </w:numPr>
        <w:spacing w:after="80"/>
      </w:pPr>
      <w:r>
        <w:t xml:space="preserve">Choose the single decision that seems to have the highest impact on the most important metric.  </w:t>
      </w:r>
    </w:p>
    <w:p w14:paraId="0790D86F" w14:textId="77777777" w:rsidR="00EF4274" w:rsidRDefault="00EF4274" w:rsidP="00EF4274">
      <w:pPr>
        <w:pStyle w:val="ListParagraph"/>
        <w:numPr>
          <w:ilvl w:val="1"/>
          <w:numId w:val="11"/>
        </w:numPr>
        <w:spacing w:after="80"/>
      </w:pPr>
      <w:r>
        <w:t>What approach do you think you would use to make this decision?</w:t>
      </w:r>
    </w:p>
    <w:p w14:paraId="5ACBD6B7" w14:textId="77777777" w:rsidR="00EF4274" w:rsidRDefault="00EF4274" w:rsidP="00EF4274">
      <w:pPr>
        <w:pStyle w:val="ListParagraph"/>
        <w:numPr>
          <w:ilvl w:val="1"/>
          <w:numId w:val="11"/>
        </w:numPr>
        <w:spacing w:after="80"/>
      </w:pPr>
      <w:r>
        <w:t>What data appears to be necessary to make this decision, including the calculation of any performance metrics where the decision would have a high or medium impact.</w:t>
      </w:r>
    </w:p>
    <w:p w14:paraId="58F913C1" w14:textId="77777777" w:rsidR="00EF4274" w:rsidRDefault="00EF4274" w:rsidP="00EF4274">
      <w:pPr>
        <w:pStyle w:val="ListParagraph"/>
        <w:numPr>
          <w:ilvl w:val="0"/>
          <w:numId w:val="11"/>
        </w:numPr>
        <w:spacing w:after="80"/>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539096E8" w14:textId="77777777" w:rsidR="005A5693" w:rsidRDefault="00000000" w:rsidP="00160610">
      <w:pPr>
        <w:pStyle w:val="Heading1"/>
      </w:pPr>
      <w:r>
        <w:t>Discussion Questions</w:t>
      </w:r>
    </w:p>
    <w:p w14:paraId="6CFA18AC" w14:textId="4A8B960B" w:rsidR="005A5693" w:rsidRDefault="00000000" w:rsidP="00844490">
      <w:pPr>
        <w:pStyle w:val="ListParagraph"/>
        <w:numPr>
          <w:ilvl w:val="0"/>
          <w:numId w:val="13"/>
        </w:numPr>
      </w:pPr>
      <w:r>
        <w:t>What should Marquez authorize at 2:00 p.m.? Which resources should be committed immediately, and which should be preserved for later?</w:t>
      </w:r>
    </w:p>
    <w:p w14:paraId="519168E2" w14:textId="7DC5D84B" w:rsidR="005A5693" w:rsidRDefault="00000000" w:rsidP="00844490">
      <w:pPr>
        <w:pStyle w:val="ListParagraph"/>
        <w:numPr>
          <w:ilvl w:val="0"/>
          <w:numId w:val="13"/>
        </w:numPr>
      </w:pPr>
      <w:r>
        <w:t xml:space="preserve">How should BRSO compare an expensive preventive action with the </w:t>
      </w:r>
      <w:proofErr w:type="gramStart"/>
      <w:r>
        <w:t>low-probability</w:t>
      </w:r>
      <w:proofErr w:type="gramEnd"/>
      <w:r>
        <w:t xml:space="preserve"> but severe consequences of a shortage?</w:t>
      </w:r>
    </w:p>
    <w:p w14:paraId="52717D3E" w14:textId="57F792C6" w:rsidR="005A5693" w:rsidRDefault="00000000" w:rsidP="00844490">
      <w:pPr>
        <w:pStyle w:val="ListParagraph"/>
        <w:numPr>
          <w:ilvl w:val="0"/>
          <w:numId w:val="13"/>
        </w:numPr>
      </w:pPr>
      <w:r>
        <w:t>Which information would be most valuable during the next two hours? How might BRSO obtain it?</w:t>
      </w:r>
    </w:p>
    <w:p w14:paraId="66DE96E0" w14:textId="304ED619" w:rsidR="005A5693" w:rsidRDefault="00000000" w:rsidP="00844490">
      <w:pPr>
        <w:pStyle w:val="ListParagraph"/>
        <w:numPr>
          <w:ilvl w:val="0"/>
          <w:numId w:val="13"/>
        </w:numPr>
      </w:pPr>
      <w:r>
        <w:t>How should the operator value stored battery energy at different times of the day?</w:t>
      </w:r>
    </w:p>
    <w:p w14:paraId="044F0A09" w14:textId="4C4179F5" w:rsidR="005A5693" w:rsidRDefault="00000000" w:rsidP="00844490">
      <w:pPr>
        <w:pStyle w:val="ListParagraph"/>
        <w:numPr>
          <w:ilvl w:val="0"/>
          <w:numId w:val="13"/>
        </w:numPr>
      </w:pPr>
      <w:r>
        <w:t>When should demand response be treated as an ordinary operating resource, and when does repeated use undermine its future value?</w:t>
      </w:r>
    </w:p>
    <w:p w14:paraId="6740BC01" w14:textId="4F084C0B" w:rsidR="005A5693" w:rsidRDefault="00000000" w:rsidP="00844490">
      <w:pPr>
        <w:pStyle w:val="ListParagraph"/>
        <w:numPr>
          <w:ilvl w:val="0"/>
          <w:numId w:val="13"/>
        </w:numPr>
      </w:pPr>
      <w:r>
        <w:t>Which long-term investments appear complementary, which are substitutes, and how should their costs be allocated?</w:t>
      </w:r>
    </w:p>
    <w:p w14:paraId="3979702B" w14:textId="77777777" w:rsidR="005A5693" w:rsidRDefault="00000000">
      <w:pPr>
        <w:pStyle w:val="ExhibitNote"/>
        <w:spacing w:before="100"/>
      </w:pPr>
      <w:r>
        <w:t>Case note: This fictional case draws conceptually on Warren B. Powell, “Electric Power Grid Management,” Chapter 2 of Bridging Decision Problems, Volume I: Framing the Problem. Current context uses the U.S. Energy Information Administration, March 12, 2026, and NERC’s 2025 Long-Term Reliability Assessment, January 2026. All Blue River entities, events, and figures are fictional, and the case intentionally identifies no optimal strategy.</w:t>
      </w:r>
    </w:p>
    <w:p w14:paraId="264A50EB" w14:textId="77777777" w:rsidR="00160610" w:rsidRDefault="00160610" w:rsidP="00160610">
      <w:pPr>
        <w:rPr>
          <w:rFonts w:asciiTheme="majorHAnsi" w:eastAsiaTheme="majorEastAsia" w:hAnsiTheme="majorHAnsi" w:cstheme="majorBidi"/>
          <w:color w:val="183B4E"/>
          <w:sz w:val="28"/>
          <w:szCs w:val="28"/>
        </w:rPr>
      </w:pPr>
      <w:r>
        <w:br w:type="page"/>
      </w:r>
    </w:p>
    <w:p w14:paraId="33171D76" w14:textId="450685DD" w:rsidR="00160610" w:rsidRDefault="00160610" w:rsidP="00160610">
      <w:pPr>
        <w:pStyle w:val="Heading1"/>
      </w:pPr>
      <w:r>
        <w:lastRenderedPageBreak/>
        <w:t>ChatGPT notes</w:t>
      </w:r>
    </w:p>
    <w:p w14:paraId="399F9BA1" w14:textId="0D4E3340" w:rsidR="00160610" w:rsidRDefault="00160610" w:rsidP="00160610">
      <w:pPr>
        <w:pStyle w:val="Heading2"/>
      </w:pPr>
      <w:r>
        <w:t>Prompt</w:t>
      </w:r>
    </w:p>
    <w:p w14:paraId="7B61C8B7" w14:textId="2D019DA6" w:rsidR="00160610" w:rsidRDefault="00160610" w:rsidP="00160610">
      <w:r w:rsidRPr="00160610">
        <w:t xml:space="preserve">Write a </w:t>
      </w:r>
      <w:proofErr w:type="gramStart"/>
      <w:r w:rsidRPr="00160610">
        <w:t>4-6 page</w:t>
      </w:r>
      <w:proofErr w:type="gramEnd"/>
      <w:r w:rsidRPr="00160610">
        <w:t xml:space="preserve"> case study based on the material in the section at https://warrenpowell.org/bridging-vol1/chapter-2/#electric-power-grid-management. Create a context based on the metrics, decisions and uncertainties in the section, but without explicitly calling attention to them. motivate your case problem with data.</w:t>
      </w:r>
    </w:p>
    <w:p w14:paraId="4E8DC252" w14:textId="12AB370D" w:rsidR="00160610" w:rsidRDefault="00160610" w:rsidP="00160610">
      <w:pPr>
        <w:pStyle w:val="Heading2"/>
      </w:pPr>
      <w:r>
        <w:t>Summary</w:t>
      </w:r>
    </w:p>
    <w:p w14:paraId="794D7CC7" w14:textId="77777777" w:rsidR="00160610" w:rsidRPr="00160610" w:rsidRDefault="00160610" w:rsidP="00160610">
      <w:r w:rsidRPr="00160610">
        <w:t>The case places a fictional regional grid operator in the middle of a record summer-demand day. It must decide how to respond to uncertain solar and wind production, a potentially failing gas generator, rising market prices, limited battery duration, transmission constraints, and unreliable demand-response participation.</w:t>
      </w:r>
    </w:p>
    <w:p w14:paraId="2CB8DB0D" w14:textId="77777777" w:rsidR="00160610" w:rsidRPr="00160610" w:rsidRDefault="00160610" w:rsidP="00160610">
      <w:r w:rsidRPr="00160610">
        <w:t>It includes:</w:t>
      </w:r>
    </w:p>
    <w:p w14:paraId="4AB8515F" w14:textId="77777777" w:rsidR="00160610" w:rsidRPr="00160610" w:rsidRDefault="00160610" w:rsidP="00160610">
      <w:pPr>
        <w:numPr>
          <w:ilvl w:val="0"/>
          <w:numId w:val="10"/>
        </w:numPr>
      </w:pPr>
      <w:r w:rsidRPr="00160610">
        <w:t xml:space="preserve">Hour-ahead and real-time operating decisions </w:t>
      </w:r>
    </w:p>
    <w:p w14:paraId="1C168693" w14:textId="77777777" w:rsidR="00160610" w:rsidRPr="00160610" w:rsidRDefault="00160610" w:rsidP="00160610">
      <w:pPr>
        <w:numPr>
          <w:ilvl w:val="0"/>
          <w:numId w:val="10"/>
        </w:numPr>
      </w:pPr>
      <w:r w:rsidRPr="00160610">
        <w:t xml:space="preserve">Nuclear, coal, gas, oil, wind, solar, hydro, imports, and battery resources </w:t>
      </w:r>
    </w:p>
    <w:p w14:paraId="27357FCF" w14:textId="77777777" w:rsidR="00160610" w:rsidRPr="00160610" w:rsidRDefault="00160610" w:rsidP="00160610">
      <w:pPr>
        <w:numPr>
          <w:ilvl w:val="0"/>
          <w:numId w:val="10"/>
        </w:numPr>
      </w:pPr>
      <w:r w:rsidRPr="00160610">
        <w:t xml:space="preserve">Generator startup times and operating-cost differences </w:t>
      </w:r>
    </w:p>
    <w:p w14:paraId="4A74E9D6" w14:textId="77777777" w:rsidR="00160610" w:rsidRPr="00160610" w:rsidRDefault="00160610" w:rsidP="00160610">
      <w:pPr>
        <w:numPr>
          <w:ilvl w:val="0"/>
          <w:numId w:val="10"/>
        </w:numPr>
      </w:pPr>
      <w:r w:rsidRPr="00160610">
        <w:t xml:space="preserve">Five-minute electricity markets and second-by-second frequency regulation </w:t>
      </w:r>
    </w:p>
    <w:p w14:paraId="023B9515" w14:textId="77777777" w:rsidR="00160610" w:rsidRPr="00160610" w:rsidRDefault="00160610" w:rsidP="00160610">
      <w:pPr>
        <w:numPr>
          <w:ilvl w:val="0"/>
          <w:numId w:val="10"/>
        </w:numPr>
      </w:pPr>
      <w:r w:rsidRPr="00160610">
        <w:t xml:space="preserve">Weather, </w:t>
      </w:r>
      <w:proofErr w:type="gramStart"/>
      <w:r w:rsidRPr="00160610">
        <w:t>equipment-failure</w:t>
      </w:r>
      <w:proofErr w:type="gramEnd"/>
      <w:r w:rsidRPr="00160610">
        <w:t xml:space="preserve">, </w:t>
      </w:r>
      <w:proofErr w:type="gramStart"/>
      <w:r w:rsidRPr="00160610">
        <w:t>fuel-price</w:t>
      </w:r>
      <w:proofErr w:type="gramEnd"/>
      <w:r w:rsidRPr="00160610">
        <w:t xml:space="preserve">, regulatory, and technology uncertainty </w:t>
      </w:r>
    </w:p>
    <w:p w14:paraId="42D2EE0B" w14:textId="77777777" w:rsidR="00160610" w:rsidRPr="00160610" w:rsidRDefault="00160610" w:rsidP="00160610">
      <w:pPr>
        <w:numPr>
          <w:ilvl w:val="0"/>
          <w:numId w:val="10"/>
        </w:numPr>
      </w:pPr>
      <w:r w:rsidRPr="00160610">
        <w:t xml:space="preserve">Conflicts among reliability, customer cost, emissions, and service continuity </w:t>
      </w:r>
    </w:p>
    <w:p w14:paraId="3102E44E" w14:textId="77777777" w:rsidR="00160610" w:rsidRPr="00160610" w:rsidRDefault="00160610" w:rsidP="00160610">
      <w:pPr>
        <w:numPr>
          <w:ilvl w:val="0"/>
          <w:numId w:val="10"/>
        </w:numPr>
      </w:pPr>
      <w:r w:rsidRPr="00160610">
        <w:t xml:space="preserve">Long-term alternatives involving gas generation, batteries, transmission, grid sensors, flexible demand, and long-duration storage </w:t>
      </w:r>
    </w:p>
    <w:p w14:paraId="56FD59AE" w14:textId="77777777" w:rsidR="00160610" w:rsidRPr="00160610" w:rsidRDefault="00160610" w:rsidP="00160610">
      <w:pPr>
        <w:numPr>
          <w:ilvl w:val="0"/>
          <w:numId w:val="10"/>
        </w:numPr>
      </w:pPr>
      <w:r w:rsidRPr="00160610">
        <w:t xml:space="preserve">Four quantitative exhibits and an unresolved decision point </w:t>
      </w:r>
    </w:p>
    <w:p w14:paraId="50663DC7" w14:textId="77777777" w:rsidR="00160610" w:rsidRPr="00160610" w:rsidRDefault="00160610" w:rsidP="00160610">
      <w:r w:rsidRPr="00160610">
        <w:t xml:space="preserve">The business setting is motivated by EIA findings that U.S. electricity demand grew approximately 1.7% annually from 2020 through 2025, following roughly a decade of nearly flat growth. NERC’s 2025 assessment projected 224 GW of additional summer peak demand over ten years, with data centers accounting for much of the increase. </w:t>
      </w:r>
    </w:p>
    <w:p w14:paraId="7D5CE5C3" w14:textId="77777777" w:rsidR="00160610" w:rsidRPr="00160610" w:rsidRDefault="00160610" w:rsidP="00160610">
      <w:r w:rsidRPr="00160610">
        <w:t xml:space="preserve">The case follows the structure of the specified electric-power-grid-management section without explicitly separating its underlying performance measures, available actions, and sources of uncertainty. </w:t>
      </w:r>
    </w:p>
    <w:p w14:paraId="34369D29" w14:textId="77777777" w:rsidR="00160610" w:rsidRPr="00160610" w:rsidRDefault="00160610" w:rsidP="00160610"/>
    <w:sectPr w:rsidR="00160610" w:rsidRPr="00160610" w:rsidSect="00034616">
      <w:headerReference w:type="default" r:id="rId12"/>
      <w:footerReference w:type="default" r:id="rId13"/>
      <w:pgSz w:w="12240" w:h="15840"/>
      <w:pgMar w:top="792" w:right="979" w:bottom="792" w:left="979"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43A15" w14:textId="77777777" w:rsidR="006E2430" w:rsidRDefault="006E2430" w:rsidP="00160610">
      <w:r>
        <w:separator/>
      </w:r>
    </w:p>
  </w:endnote>
  <w:endnote w:type="continuationSeparator" w:id="0">
    <w:p w14:paraId="4C9D861B" w14:textId="77777777" w:rsidR="006E2430" w:rsidRDefault="006E2430" w:rsidP="00160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C037" w14:textId="77038D7F" w:rsidR="005A5693" w:rsidRDefault="00000000" w:rsidP="00160610">
    <w:pPr>
      <w:pStyle w:val="Footer"/>
    </w:pPr>
    <w:r>
      <w:fldChar w:fldCharType="begin"/>
    </w:r>
    <w:r>
      <w:instrText>PAGE</w:instrText>
    </w:r>
    <w:r>
      <w:fldChar w:fldCharType="separate"/>
    </w:r>
    <w:r w:rsidR="001606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A2E77" w14:textId="77777777" w:rsidR="006E2430" w:rsidRDefault="006E2430" w:rsidP="00160610">
      <w:r>
        <w:separator/>
      </w:r>
    </w:p>
  </w:footnote>
  <w:footnote w:type="continuationSeparator" w:id="0">
    <w:p w14:paraId="578A0D11" w14:textId="77777777" w:rsidR="006E2430" w:rsidRDefault="006E2430" w:rsidP="00160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3A89" w14:textId="44050015" w:rsidR="005A5693" w:rsidRDefault="00000000" w:rsidP="00160610">
    <w:pPr>
      <w:pStyle w:val="Header"/>
    </w:pPr>
    <w:r>
      <w:t>BLUE RIVER SYSTEM OPERATOR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7FB014A"/>
    <w:multiLevelType w:val="hybridMultilevel"/>
    <w:tmpl w:val="81ECB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D8153C"/>
    <w:multiLevelType w:val="multilevel"/>
    <w:tmpl w:val="A23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E019EF"/>
    <w:multiLevelType w:val="hybridMultilevel"/>
    <w:tmpl w:val="587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662131">
    <w:abstractNumId w:val="8"/>
  </w:num>
  <w:num w:numId="2" w16cid:durableId="449860207">
    <w:abstractNumId w:val="6"/>
  </w:num>
  <w:num w:numId="3" w16cid:durableId="1002975284">
    <w:abstractNumId w:val="5"/>
  </w:num>
  <w:num w:numId="4" w16cid:durableId="1781727978">
    <w:abstractNumId w:val="4"/>
  </w:num>
  <w:num w:numId="5" w16cid:durableId="1361541843">
    <w:abstractNumId w:val="7"/>
  </w:num>
  <w:num w:numId="6" w16cid:durableId="1595240143">
    <w:abstractNumId w:val="3"/>
  </w:num>
  <w:num w:numId="7" w16cid:durableId="2076776673">
    <w:abstractNumId w:val="2"/>
  </w:num>
  <w:num w:numId="8" w16cid:durableId="469708107">
    <w:abstractNumId w:val="1"/>
  </w:num>
  <w:num w:numId="9" w16cid:durableId="1554001668">
    <w:abstractNumId w:val="0"/>
  </w:num>
  <w:num w:numId="10" w16cid:durableId="1065297460">
    <w:abstractNumId w:val="11"/>
  </w:num>
  <w:num w:numId="11" w16cid:durableId="1268582022">
    <w:abstractNumId w:val="10"/>
  </w:num>
  <w:num w:numId="12" w16cid:durableId="1597902561">
    <w:abstractNumId w:val="12"/>
  </w:num>
  <w:num w:numId="13" w16cid:durableId="862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12F"/>
    <w:rsid w:val="0015074B"/>
    <w:rsid w:val="00160610"/>
    <w:rsid w:val="0029639D"/>
    <w:rsid w:val="00326F90"/>
    <w:rsid w:val="005A5693"/>
    <w:rsid w:val="006E2430"/>
    <w:rsid w:val="00844490"/>
    <w:rsid w:val="008852B7"/>
    <w:rsid w:val="00A257D9"/>
    <w:rsid w:val="00AA1D8D"/>
    <w:rsid w:val="00B47730"/>
    <w:rsid w:val="00CB0664"/>
    <w:rsid w:val="00DE6309"/>
    <w:rsid w:val="00EF42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A53C6"/>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10"/>
    <w:pPr>
      <w:spacing w:after="72" w:line="247"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00" w:after="60"/>
      <w:outlineLvl w:val="0"/>
    </w:pPr>
    <w:rPr>
      <w:rFonts w:asciiTheme="majorHAnsi" w:eastAsiaTheme="majorEastAsia" w:hAnsiTheme="majorHAnsi" w:cstheme="majorBidi"/>
      <w:b/>
      <w:bCs/>
      <w:color w:val="183B4E"/>
      <w:sz w:val="28"/>
      <w:szCs w:val="28"/>
    </w:rPr>
  </w:style>
  <w:style w:type="paragraph" w:styleId="Heading2">
    <w:name w:val="heading 2"/>
    <w:basedOn w:val="Normal"/>
    <w:next w:val="Normal"/>
    <w:link w:val="Heading2Char"/>
    <w:uiPriority w:val="9"/>
    <w:unhideWhenUsed/>
    <w:qFormat/>
    <w:rsid w:val="00FC693F"/>
    <w:pPr>
      <w:keepNext/>
      <w:keepLines/>
      <w:spacing w:before="60" w:after="60"/>
      <w:outlineLvl w:val="1"/>
    </w:pPr>
    <w:rPr>
      <w:rFonts w:asciiTheme="majorHAnsi" w:eastAsiaTheme="majorEastAsia" w:hAnsiTheme="majorHAnsi" w:cstheme="majorBidi"/>
      <w:b/>
      <w:bCs/>
      <w:color w:val="2E596E"/>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after="60" w:line="240" w:lineRule="auto"/>
      <w:contextualSpacing/>
    </w:pPr>
    <w:rPr>
      <w:rFonts w:asciiTheme="majorHAnsi" w:eastAsiaTheme="majorEastAsia" w:hAnsiTheme="majorHAnsi" w:cstheme="majorBidi"/>
      <w:b/>
      <w:color w:val="183B4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60" w:after="60"/>
    </w:pPr>
    <w:rPr>
      <w:rFonts w:asciiTheme="majorHAnsi" w:eastAsiaTheme="majorEastAsia" w:hAnsiTheme="majorHAnsi" w:cstheme="majorBidi"/>
      <w:i/>
      <w:iCs/>
      <w:color w:val="4F6B7A"/>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hibitTitle">
    <w:name w:val="Exhibit Title"/>
    <w:pPr>
      <w:spacing w:before="100" w:after="40"/>
    </w:pPr>
    <w:rPr>
      <w:rFonts w:ascii="Aptos" w:hAnsi="Aptos"/>
      <w:b/>
      <w:color w:val="183B4E"/>
      <w:sz w:val="19"/>
    </w:rPr>
  </w:style>
  <w:style w:type="paragraph" w:customStyle="1" w:styleId="ExhibitNote">
    <w:name w:val="Exhibit Note"/>
    <w:pPr>
      <w:spacing w:after="60"/>
    </w:pPr>
    <w:rPr>
      <w:rFonts w:ascii="Aptos" w:hAnsi="Aptos"/>
      <w:i/>
      <w:color w:val="555555"/>
      <w:sz w:val="15"/>
    </w:rPr>
  </w:style>
  <w:style w:type="paragraph" w:customStyle="1" w:styleId="CaseDate">
    <w:name w:val="Case Date"/>
    <w:rPr>
      <w:rFonts w:ascii="Aptos" w:hAnsi="Aptos"/>
      <w:color w:val="666666"/>
      <w:sz w:val="17"/>
    </w:rPr>
  </w:style>
  <w:style w:type="character" w:styleId="Hyperlink">
    <w:name w:val="Hyperlink"/>
    <w:basedOn w:val="DefaultParagraphFont"/>
    <w:uiPriority w:val="99"/>
    <w:unhideWhenUsed/>
    <w:rsid w:val="00EF4274"/>
    <w:rPr>
      <w:color w:val="0000FF" w:themeColor="hyperlink"/>
      <w:u w:val="single"/>
    </w:rPr>
  </w:style>
  <w:style w:type="paragraph" w:customStyle="1" w:styleId="CaseTitle">
    <w:name w:val="Case Title"/>
    <w:basedOn w:val="Normal"/>
    <w:rsid w:val="00DE6309"/>
    <w:pPr>
      <w:spacing w:after="80"/>
    </w:pPr>
    <w:rPr>
      <w:rFonts w:ascii="Aptos Display" w:eastAsia="Aptos Display" w:hAnsi="Aptos Display"/>
      <w:b/>
      <w:color w:val="284B63"/>
      <w:sz w:val="48"/>
    </w:rPr>
  </w:style>
  <w:style w:type="paragraph" w:customStyle="1" w:styleId="CaseSubtitle">
    <w:name w:val="Case Subtitle"/>
    <w:basedOn w:val="Normal"/>
    <w:rsid w:val="00DE6309"/>
    <w:pPr>
      <w:spacing w:after="80"/>
    </w:pPr>
    <w:rPr>
      <w:rFonts w:ascii="Aptos Display" w:eastAsia="Aptos Display" w:hAnsi="Aptos Display"/>
      <w:b/>
      <w:color w:val="3C6E71"/>
      <w:sz w:val="36"/>
    </w:rPr>
  </w:style>
  <w:style w:type="paragraph" w:customStyle="1" w:styleId="CaseDisclaimer">
    <w:name w:val="Case Disclaimer"/>
    <w:basedOn w:val="Normal"/>
    <w:rsid w:val="00DE6309"/>
    <w:pPr>
      <w:spacing w:after="80"/>
    </w:pPr>
    <w:rPr>
      <w:color w:val="646464"/>
      <w:sz w:val="16"/>
    </w:rPr>
  </w:style>
  <w:style w:type="paragraph" w:customStyle="1" w:styleId="CaseSpacer">
    <w:name w:val="Case Spacer"/>
    <w:basedOn w:val="Normal"/>
    <w:rsid w:val="00DE6309"/>
    <w:pPr>
      <w:spacing w:after="8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2716</Words>
  <Characters>15486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Warren Powell</cp:lastModifiedBy>
  <cp:revision>6</cp:revision>
  <dcterms:created xsi:type="dcterms:W3CDTF">2026-07-30T15:14:00Z</dcterms:created>
  <dcterms:modified xsi:type="dcterms:W3CDTF">2026-07-30T18:37:00Z</dcterms:modified>
  <cp:category/>
</cp:coreProperties>
</file>