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DB033" w14:textId="77777777" w:rsidR="00773644" w:rsidRDefault="00000000" w:rsidP="009D1F29">
      <w:r>
        <w:t>AURORA MOTORS</w:t>
      </w:r>
    </w:p>
    <w:p w14:paraId="13AD91E3" w14:textId="77777777" w:rsidR="00773644" w:rsidRDefault="00000000" w:rsidP="009D1F29">
      <w:pPr>
        <w:pStyle w:val="Title"/>
      </w:pPr>
      <w:r>
        <w:t>The Flow Coordination Dilemma</w:t>
      </w:r>
    </w:p>
    <w:p w14:paraId="04C27787" w14:textId="77777777" w:rsidR="00773644" w:rsidRDefault="00000000" w:rsidP="00616B9D">
      <w:r>
        <w:t>A fictional teaching case about synchronizing global parts, production, and customer deliveries</w:t>
      </w:r>
    </w:p>
    <w:p w14:paraId="1C7E8834" w14:textId="77777777" w:rsidR="009D1F29" w:rsidRDefault="009D1F29" w:rsidP="00616B9D"/>
    <w:tbl>
      <w:tblPr>
        <w:tblW w:w="0" w:type="auto"/>
        <w:jc w:val="center"/>
        <w:tblLook w:val="04A0" w:firstRow="1" w:lastRow="0" w:firstColumn="1" w:lastColumn="0" w:noHBand="0" w:noVBand="1"/>
      </w:tblPr>
      <w:tblGrid>
        <w:gridCol w:w="10282"/>
      </w:tblGrid>
      <w:tr w:rsidR="00773644" w14:paraId="7D662E97" w14:textId="77777777">
        <w:trPr>
          <w:jc w:val="center"/>
        </w:trPr>
        <w:tc>
          <w:tcPr>
            <w:tcW w:w="10282" w:type="dxa"/>
            <w:shd w:val="clear" w:color="auto" w:fill="DCE6F1"/>
            <w:tcMar>
              <w:top w:w="100" w:type="dxa"/>
              <w:left w:w="130" w:type="dxa"/>
              <w:bottom w:w="100" w:type="dxa"/>
              <w:right w:w="130" w:type="dxa"/>
            </w:tcMar>
          </w:tcPr>
          <w:p w14:paraId="33702327" w14:textId="77777777" w:rsidR="00773644" w:rsidRDefault="00000000" w:rsidP="00616B9D">
            <w:r>
              <w:t>THE DECISION</w:t>
            </w:r>
          </w:p>
          <w:p w14:paraId="70014FFA" w14:textId="77777777" w:rsidR="00773644" w:rsidRDefault="00000000" w:rsidP="00616B9D">
            <w:r>
              <w:t>How should Aurora Motors coordinate uncertain inbound supplies with production and customer deliveries when tariffs, federal incentives, gasoline prices, and buyer preferences can change faster than its supply chain?</w:t>
            </w:r>
          </w:p>
        </w:tc>
      </w:tr>
    </w:tbl>
    <w:p w14:paraId="541651F6" w14:textId="77777777" w:rsidR="00773644" w:rsidRDefault="00000000" w:rsidP="00616B9D">
      <w:r>
        <w:t>On Monday, October 6, 2025, Maya Chen, chief operating officer of Aurora Motors, entered an executive planning meeting carrying three forecasts that could not all be right. The purchasing team expected imported component costs to rise. Sales expected demand for Aurora’s hybrid sport-utility vehicle to accelerate after a renewed jump in gasoline prices. Finance warned that the federal clean-vehicle credit had ended for vehicles acquired after September 30, removing a benefit that some dealers had incorporated into customer payment estimates. Meanwhile, 3,800 completed customer orders were waiting for production dates.</w:t>
      </w:r>
    </w:p>
    <w:p w14:paraId="775334FD" w14:textId="77777777" w:rsidR="00773644" w:rsidRPr="00616B9D" w:rsidRDefault="00000000" w:rsidP="00616B9D">
      <w:r w:rsidRPr="00616B9D">
        <w:t>Aurora assembled hybrid electric vehicles at one U.S. plant. Its most important model, the Aurora Crosswind, combined a gasoline engine, electric motor, power electronics, and a 1.8-kWh battery pack. Although final assembly was domestic, the vehicle depended on battery cells and semiconductor modules from Asia, specialized inverters from Europe, and engines, body panels, and seats from North America. A missing $180 control module could delay shipment of a $42,000 vehicle.</w:t>
      </w:r>
    </w:p>
    <w:p w14:paraId="4E24B9F5" w14:textId="77777777" w:rsidR="00773644" w:rsidRDefault="00000000" w:rsidP="00616B9D">
      <w:pPr>
        <w:pStyle w:val="Heading1"/>
      </w:pPr>
      <w:r>
        <w:t>A Company Built Around Coordinated Flow</w:t>
      </w:r>
    </w:p>
    <w:p w14:paraId="71FEC325" w14:textId="77777777" w:rsidR="00773644" w:rsidRDefault="00000000" w:rsidP="00616B9D">
      <w:r>
        <w:t>Aurora had grown by promising dealers a reliable eight-week order-to-delivery window. Its operating system converted dealer orders into a 12-week production schedule and then released purchase orders, ocean bookings, rail capacity, and finished-vehicle delivery appointments. The system worked well when forecasts and lead times were stable. It struggled when commercial policy and energy markets moved abruptly.</w:t>
      </w:r>
    </w:p>
    <w:p w14:paraId="559145CC" w14:textId="77777777" w:rsidR="00773644" w:rsidRDefault="00000000" w:rsidP="00616B9D">
      <w:r>
        <w:t>The manufacturing plant could build 1,150 vehicles per week on two shifts. The hybrid powertrain line was the constraint, but shortages elsewhere frequently prevented the line from using its full capacity. Aurora could substitute some components, change the sequence of models, hold nearly finished vehicles for later completion, or use air freight. Each response shifted costs and delays to a different part of the system.</w:t>
      </w:r>
    </w:p>
    <w:tbl>
      <w:tblPr>
        <w:tblStyle w:val="TableGrid"/>
        <w:tblW w:w="0" w:type="auto"/>
        <w:jc w:val="center"/>
        <w:tblLook w:val="04A0" w:firstRow="1" w:lastRow="0" w:firstColumn="1" w:lastColumn="0" w:noHBand="0" w:noVBand="1"/>
      </w:tblPr>
      <w:tblGrid>
        <w:gridCol w:w="2048"/>
        <w:gridCol w:w="1651"/>
        <w:gridCol w:w="1420"/>
        <w:gridCol w:w="1416"/>
        <w:gridCol w:w="3737"/>
      </w:tblGrid>
      <w:tr w:rsidR="00773644" w14:paraId="597C44B4" w14:textId="77777777">
        <w:trPr>
          <w:tblHeader/>
          <w:jc w:val="center"/>
        </w:trPr>
        <w:tc>
          <w:tcPr>
            <w:tcW w:w="2088" w:type="dxa"/>
            <w:shd w:val="clear" w:color="auto" w:fill="1F4E5F"/>
            <w:tcMar>
              <w:top w:w="70" w:type="dxa"/>
              <w:left w:w="80" w:type="dxa"/>
              <w:bottom w:w="70" w:type="dxa"/>
              <w:right w:w="80" w:type="dxa"/>
            </w:tcMar>
            <w:vAlign w:val="center"/>
          </w:tcPr>
          <w:p w14:paraId="412F778E" w14:textId="77777777" w:rsidR="00773644" w:rsidRDefault="00000000" w:rsidP="00616B9D">
            <w:r>
              <w:t>Inbound item</w:t>
            </w:r>
          </w:p>
        </w:tc>
        <w:tc>
          <w:tcPr>
            <w:tcW w:w="1656" w:type="dxa"/>
            <w:shd w:val="clear" w:color="auto" w:fill="1F4E5F"/>
            <w:tcMar>
              <w:top w:w="70" w:type="dxa"/>
              <w:left w:w="80" w:type="dxa"/>
              <w:bottom w:w="70" w:type="dxa"/>
              <w:right w:w="80" w:type="dxa"/>
            </w:tcMar>
            <w:vAlign w:val="center"/>
          </w:tcPr>
          <w:p w14:paraId="550A5142" w14:textId="77777777" w:rsidR="00773644" w:rsidRDefault="00000000" w:rsidP="00616B9D">
            <w:r>
              <w:t>Primary source</w:t>
            </w:r>
          </w:p>
        </w:tc>
        <w:tc>
          <w:tcPr>
            <w:tcW w:w="1440" w:type="dxa"/>
            <w:shd w:val="clear" w:color="auto" w:fill="1F4E5F"/>
            <w:tcMar>
              <w:top w:w="70" w:type="dxa"/>
              <w:left w:w="80" w:type="dxa"/>
              <w:bottom w:w="70" w:type="dxa"/>
              <w:right w:w="80" w:type="dxa"/>
            </w:tcMar>
            <w:vAlign w:val="center"/>
          </w:tcPr>
          <w:p w14:paraId="07DC468B" w14:textId="77777777" w:rsidR="00773644" w:rsidRDefault="00000000" w:rsidP="00616B9D">
            <w:r>
              <w:t>Normal lead time</w:t>
            </w:r>
          </w:p>
        </w:tc>
        <w:tc>
          <w:tcPr>
            <w:tcW w:w="1440" w:type="dxa"/>
            <w:shd w:val="clear" w:color="auto" w:fill="1F4E5F"/>
            <w:tcMar>
              <w:top w:w="70" w:type="dxa"/>
              <w:left w:w="80" w:type="dxa"/>
              <w:bottom w:w="70" w:type="dxa"/>
              <w:right w:w="80" w:type="dxa"/>
            </w:tcMar>
            <w:vAlign w:val="center"/>
          </w:tcPr>
          <w:p w14:paraId="288AF5C0" w14:textId="77777777" w:rsidR="00773644" w:rsidRDefault="00000000" w:rsidP="00616B9D">
            <w:r>
              <w:t>Units on hand</w:t>
            </w:r>
          </w:p>
        </w:tc>
        <w:tc>
          <w:tcPr>
            <w:tcW w:w="3816" w:type="dxa"/>
            <w:shd w:val="clear" w:color="auto" w:fill="1F4E5F"/>
            <w:tcMar>
              <w:top w:w="70" w:type="dxa"/>
              <w:left w:w="80" w:type="dxa"/>
              <w:bottom w:w="70" w:type="dxa"/>
              <w:right w:w="80" w:type="dxa"/>
            </w:tcMar>
            <w:vAlign w:val="center"/>
          </w:tcPr>
          <w:p w14:paraId="76028384" w14:textId="77777777" w:rsidR="00773644" w:rsidRDefault="00000000" w:rsidP="00616B9D">
            <w:r>
              <w:t>Exposure</w:t>
            </w:r>
          </w:p>
        </w:tc>
      </w:tr>
      <w:tr w:rsidR="00773644" w14:paraId="1F406272" w14:textId="77777777">
        <w:trPr>
          <w:jc w:val="center"/>
        </w:trPr>
        <w:tc>
          <w:tcPr>
            <w:tcW w:w="2088" w:type="dxa"/>
            <w:tcMar>
              <w:top w:w="70" w:type="dxa"/>
              <w:left w:w="80" w:type="dxa"/>
              <w:bottom w:w="70" w:type="dxa"/>
              <w:right w:w="80" w:type="dxa"/>
            </w:tcMar>
            <w:vAlign w:val="center"/>
          </w:tcPr>
          <w:p w14:paraId="0F64A102" w14:textId="77777777" w:rsidR="00773644" w:rsidRDefault="00000000" w:rsidP="00616B9D">
            <w:r>
              <w:t>Battery cells</w:t>
            </w:r>
          </w:p>
        </w:tc>
        <w:tc>
          <w:tcPr>
            <w:tcW w:w="1656" w:type="dxa"/>
            <w:tcMar>
              <w:top w:w="70" w:type="dxa"/>
              <w:left w:w="80" w:type="dxa"/>
              <w:bottom w:w="70" w:type="dxa"/>
              <w:right w:w="80" w:type="dxa"/>
            </w:tcMar>
            <w:vAlign w:val="center"/>
          </w:tcPr>
          <w:p w14:paraId="2281879F" w14:textId="77777777" w:rsidR="00773644" w:rsidRDefault="00000000" w:rsidP="00616B9D">
            <w:r>
              <w:t>East Asia</w:t>
            </w:r>
          </w:p>
        </w:tc>
        <w:tc>
          <w:tcPr>
            <w:tcW w:w="1440" w:type="dxa"/>
            <w:tcMar>
              <w:top w:w="70" w:type="dxa"/>
              <w:left w:w="80" w:type="dxa"/>
              <w:bottom w:w="70" w:type="dxa"/>
              <w:right w:w="80" w:type="dxa"/>
            </w:tcMar>
            <w:vAlign w:val="center"/>
          </w:tcPr>
          <w:p w14:paraId="5E3C9396" w14:textId="77777777" w:rsidR="00773644" w:rsidRDefault="00000000" w:rsidP="00616B9D">
            <w:r>
              <w:t>11 weeks</w:t>
            </w:r>
          </w:p>
        </w:tc>
        <w:tc>
          <w:tcPr>
            <w:tcW w:w="1440" w:type="dxa"/>
            <w:tcMar>
              <w:top w:w="70" w:type="dxa"/>
              <w:left w:w="80" w:type="dxa"/>
              <w:bottom w:w="70" w:type="dxa"/>
              <w:right w:w="80" w:type="dxa"/>
            </w:tcMar>
            <w:vAlign w:val="center"/>
          </w:tcPr>
          <w:p w14:paraId="54F6BD81" w14:textId="77777777" w:rsidR="00773644" w:rsidRDefault="00000000" w:rsidP="00616B9D">
            <w:r>
              <w:t>5.2 weeks</w:t>
            </w:r>
          </w:p>
        </w:tc>
        <w:tc>
          <w:tcPr>
            <w:tcW w:w="3816" w:type="dxa"/>
            <w:tcMar>
              <w:top w:w="70" w:type="dxa"/>
              <w:left w:w="80" w:type="dxa"/>
              <w:bottom w:w="70" w:type="dxa"/>
              <w:right w:w="80" w:type="dxa"/>
            </w:tcMar>
            <w:vAlign w:val="center"/>
          </w:tcPr>
          <w:p w14:paraId="18D0D9CE" w14:textId="77777777" w:rsidR="00773644" w:rsidRDefault="00000000" w:rsidP="00616B9D">
            <w:r>
              <w:t>Tariff, ocean delay, quality release</w:t>
            </w:r>
          </w:p>
        </w:tc>
      </w:tr>
      <w:tr w:rsidR="00773644" w14:paraId="39595518" w14:textId="77777777">
        <w:trPr>
          <w:jc w:val="center"/>
        </w:trPr>
        <w:tc>
          <w:tcPr>
            <w:tcW w:w="2088" w:type="dxa"/>
            <w:shd w:val="clear" w:color="auto" w:fill="EAF1F3"/>
            <w:tcMar>
              <w:top w:w="70" w:type="dxa"/>
              <w:left w:w="80" w:type="dxa"/>
              <w:bottom w:w="70" w:type="dxa"/>
              <w:right w:w="80" w:type="dxa"/>
            </w:tcMar>
            <w:vAlign w:val="center"/>
          </w:tcPr>
          <w:p w14:paraId="040D6225" w14:textId="77777777" w:rsidR="00773644" w:rsidRDefault="00000000" w:rsidP="00616B9D">
            <w:r>
              <w:t>Power-control modules</w:t>
            </w:r>
          </w:p>
        </w:tc>
        <w:tc>
          <w:tcPr>
            <w:tcW w:w="1656" w:type="dxa"/>
            <w:shd w:val="clear" w:color="auto" w:fill="EAF1F3"/>
            <w:tcMar>
              <w:top w:w="70" w:type="dxa"/>
              <w:left w:w="80" w:type="dxa"/>
              <w:bottom w:w="70" w:type="dxa"/>
              <w:right w:w="80" w:type="dxa"/>
            </w:tcMar>
            <w:vAlign w:val="center"/>
          </w:tcPr>
          <w:p w14:paraId="107AD7CC" w14:textId="77777777" w:rsidR="00773644" w:rsidRDefault="00000000" w:rsidP="00616B9D">
            <w:r>
              <w:t>East Asia</w:t>
            </w:r>
          </w:p>
        </w:tc>
        <w:tc>
          <w:tcPr>
            <w:tcW w:w="1440" w:type="dxa"/>
            <w:shd w:val="clear" w:color="auto" w:fill="EAF1F3"/>
            <w:tcMar>
              <w:top w:w="70" w:type="dxa"/>
              <w:left w:w="80" w:type="dxa"/>
              <w:bottom w:w="70" w:type="dxa"/>
              <w:right w:w="80" w:type="dxa"/>
            </w:tcMar>
            <w:vAlign w:val="center"/>
          </w:tcPr>
          <w:p w14:paraId="53B562FB" w14:textId="77777777" w:rsidR="00773644" w:rsidRDefault="00000000" w:rsidP="00616B9D">
            <w:r>
              <w:t>8 weeks</w:t>
            </w:r>
          </w:p>
        </w:tc>
        <w:tc>
          <w:tcPr>
            <w:tcW w:w="1440" w:type="dxa"/>
            <w:shd w:val="clear" w:color="auto" w:fill="EAF1F3"/>
            <w:tcMar>
              <w:top w:w="70" w:type="dxa"/>
              <w:left w:w="80" w:type="dxa"/>
              <w:bottom w:w="70" w:type="dxa"/>
              <w:right w:w="80" w:type="dxa"/>
            </w:tcMar>
            <w:vAlign w:val="center"/>
          </w:tcPr>
          <w:p w14:paraId="70A32806" w14:textId="77777777" w:rsidR="00773644" w:rsidRDefault="00000000" w:rsidP="00616B9D">
            <w:r>
              <w:t>2.6 weeks</w:t>
            </w:r>
          </w:p>
        </w:tc>
        <w:tc>
          <w:tcPr>
            <w:tcW w:w="3816" w:type="dxa"/>
            <w:shd w:val="clear" w:color="auto" w:fill="EAF1F3"/>
            <w:tcMar>
              <w:top w:w="70" w:type="dxa"/>
              <w:left w:w="80" w:type="dxa"/>
              <w:bottom w:w="70" w:type="dxa"/>
              <w:right w:w="80" w:type="dxa"/>
            </w:tcMar>
            <w:vAlign w:val="center"/>
          </w:tcPr>
          <w:p w14:paraId="3E435D26" w14:textId="77777777" w:rsidR="00773644" w:rsidRDefault="00000000" w:rsidP="00616B9D">
            <w:r>
              <w:t>Tariff, semiconductor allocation</w:t>
            </w:r>
          </w:p>
        </w:tc>
      </w:tr>
      <w:tr w:rsidR="00773644" w14:paraId="3287DD49" w14:textId="77777777">
        <w:trPr>
          <w:jc w:val="center"/>
        </w:trPr>
        <w:tc>
          <w:tcPr>
            <w:tcW w:w="2088" w:type="dxa"/>
            <w:tcMar>
              <w:top w:w="70" w:type="dxa"/>
              <w:left w:w="80" w:type="dxa"/>
              <w:bottom w:w="70" w:type="dxa"/>
              <w:right w:w="80" w:type="dxa"/>
            </w:tcMar>
            <w:vAlign w:val="center"/>
          </w:tcPr>
          <w:p w14:paraId="33224ED7" w14:textId="77777777" w:rsidR="00773644" w:rsidRDefault="00000000" w:rsidP="00616B9D">
            <w:r>
              <w:t>Inverters</w:t>
            </w:r>
          </w:p>
        </w:tc>
        <w:tc>
          <w:tcPr>
            <w:tcW w:w="1656" w:type="dxa"/>
            <w:tcMar>
              <w:top w:w="70" w:type="dxa"/>
              <w:left w:w="80" w:type="dxa"/>
              <w:bottom w:w="70" w:type="dxa"/>
              <w:right w:w="80" w:type="dxa"/>
            </w:tcMar>
            <w:vAlign w:val="center"/>
          </w:tcPr>
          <w:p w14:paraId="46374EC5" w14:textId="77777777" w:rsidR="00773644" w:rsidRDefault="00000000" w:rsidP="00616B9D">
            <w:r>
              <w:t>European Union</w:t>
            </w:r>
          </w:p>
        </w:tc>
        <w:tc>
          <w:tcPr>
            <w:tcW w:w="1440" w:type="dxa"/>
            <w:tcMar>
              <w:top w:w="70" w:type="dxa"/>
              <w:left w:w="80" w:type="dxa"/>
              <w:bottom w:w="70" w:type="dxa"/>
              <w:right w:w="80" w:type="dxa"/>
            </w:tcMar>
            <w:vAlign w:val="center"/>
          </w:tcPr>
          <w:p w14:paraId="52D5AC0A" w14:textId="77777777" w:rsidR="00773644" w:rsidRDefault="00000000" w:rsidP="00616B9D">
            <w:r>
              <w:t>7 weeks</w:t>
            </w:r>
          </w:p>
        </w:tc>
        <w:tc>
          <w:tcPr>
            <w:tcW w:w="1440" w:type="dxa"/>
            <w:tcMar>
              <w:top w:w="70" w:type="dxa"/>
              <w:left w:w="80" w:type="dxa"/>
              <w:bottom w:w="70" w:type="dxa"/>
              <w:right w:w="80" w:type="dxa"/>
            </w:tcMar>
            <w:vAlign w:val="center"/>
          </w:tcPr>
          <w:p w14:paraId="6A35D89E" w14:textId="77777777" w:rsidR="00773644" w:rsidRDefault="00000000" w:rsidP="00616B9D">
            <w:r>
              <w:t>3.1 weeks</w:t>
            </w:r>
          </w:p>
        </w:tc>
        <w:tc>
          <w:tcPr>
            <w:tcW w:w="3816" w:type="dxa"/>
            <w:tcMar>
              <w:top w:w="70" w:type="dxa"/>
              <w:left w:w="80" w:type="dxa"/>
              <w:bottom w:w="70" w:type="dxa"/>
              <w:right w:w="80" w:type="dxa"/>
            </w:tcMar>
            <w:vAlign w:val="center"/>
          </w:tcPr>
          <w:p w14:paraId="2EC40F33" w14:textId="77777777" w:rsidR="00773644" w:rsidRDefault="00000000" w:rsidP="00616B9D">
            <w:r>
              <w:t>Auto-parts tariff, port congestion</w:t>
            </w:r>
          </w:p>
        </w:tc>
      </w:tr>
      <w:tr w:rsidR="00773644" w14:paraId="0355B0E8" w14:textId="77777777">
        <w:trPr>
          <w:jc w:val="center"/>
        </w:trPr>
        <w:tc>
          <w:tcPr>
            <w:tcW w:w="2088" w:type="dxa"/>
            <w:shd w:val="clear" w:color="auto" w:fill="EAF1F3"/>
            <w:tcMar>
              <w:top w:w="70" w:type="dxa"/>
              <w:left w:w="80" w:type="dxa"/>
              <w:bottom w:w="70" w:type="dxa"/>
              <w:right w:w="80" w:type="dxa"/>
            </w:tcMar>
            <w:vAlign w:val="center"/>
          </w:tcPr>
          <w:p w14:paraId="2141177B" w14:textId="77777777" w:rsidR="00773644" w:rsidRDefault="00000000" w:rsidP="00616B9D">
            <w:r>
              <w:t>Gasoline engines</w:t>
            </w:r>
          </w:p>
        </w:tc>
        <w:tc>
          <w:tcPr>
            <w:tcW w:w="1656" w:type="dxa"/>
            <w:shd w:val="clear" w:color="auto" w:fill="EAF1F3"/>
            <w:tcMar>
              <w:top w:w="70" w:type="dxa"/>
              <w:left w:w="80" w:type="dxa"/>
              <w:bottom w:w="70" w:type="dxa"/>
              <w:right w:w="80" w:type="dxa"/>
            </w:tcMar>
            <w:vAlign w:val="center"/>
          </w:tcPr>
          <w:p w14:paraId="592E9AFB" w14:textId="77777777" w:rsidR="00773644" w:rsidRDefault="00000000" w:rsidP="00616B9D">
            <w:r>
              <w:t>United States/Mexico</w:t>
            </w:r>
          </w:p>
        </w:tc>
        <w:tc>
          <w:tcPr>
            <w:tcW w:w="1440" w:type="dxa"/>
            <w:shd w:val="clear" w:color="auto" w:fill="EAF1F3"/>
            <w:tcMar>
              <w:top w:w="70" w:type="dxa"/>
              <w:left w:w="80" w:type="dxa"/>
              <w:bottom w:w="70" w:type="dxa"/>
              <w:right w:w="80" w:type="dxa"/>
            </w:tcMar>
            <w:vAlign w:val="center"/>
          </w:tcPr>
          <w:p w14:paraId="6BFC6C18" w14:textId="77777777" w:rsidR="00773644" w:rsidRDefault="00000000" w:rsidP="00616B9D">
            <w:r>
              <w:t>3 weeks</w:t>
            </w:r>
          </w:p>
        </w:tc>
        <w:tc>
          <w:tcPr>
            <w:tcW w:w="1440" w:type="dxa"/>
            <w:shd w:val="clear" w:color="auto" w:fill="EAF1F3"/>
            <w:tcMar>
              <w:top w:w="70" w:type="dxa"/>
              <w:left w:w="80" w:type="dxa"/>
              <w:bottom w:w="70" w:type="dxa"/>
              <w:right w:w="80" w:type="dxa"/>
            </w:tcMar>
            <w:vAlign w:val="center"/>
          </w:tcPr>
          <w:p w14:paraId="4DCBB78C" w14:textId="77777777" w:rsidR="00773644" w:rsidRDefault="00000000" w:rsidP="00616B9D">
            <w:r>
              <w:t>1.8 weeks</w:t>
            </w:r>
          </w:p>
        </w:tc>
        <w:tc>
          <w:tcPr>
            <w:tcW w:w="3816" w:type="dxa"/>
            <w:shd w:val="clear" w:color="auto" w:fill="EAF1F3"/>
            <w:tcMar>
              <w:top w:w="70" w:type="dxa"/>
              <w:left w:w="80" w:type="dxa"/>
              <w:bottom w:w="70" w:type="dxa"/>
              <w:right w:w="80" w:type="dxa"/>
            </w:tcMar>
            <w:vAlign w:val="center"/>
          </w:tcPr>
          <w:p w14:paraId="1B4D662E" w14:textId="77777777" w:rsidR="00773644" w:rsidRDefault="00000000" w:rsidP="00616B9D">
            <w:r>
              <w:t>Model-mix changes</w:t>
            </w:r>
          </w:p>
        </w:tc>
      </w:tr>
      <w:tr w:rsidR="00773644" w14:paraId="6DBE9905" w14:textId="77777777">
        <w:trPr>
          <w:jc w:val="center"/>
        </w:trPr>
        <w:tc>
          <w:tcPr>
            <w:tcW w:w="2088" w:type="dxa"/>
            <w:tcMar>
              <w:top w:w="70" w:type="dxa"/>
              <w:left w:w="80" w:type="dxa"/>
              <w:bottom w:w="70" w:type="dxa"/>
              <w:right w:w="80" w:type="dxa"/>
            </w:tcMar>
            <w:vAlign w:val="center"/>
          </w:tcPr>
          <w:p w14:paraId="09705E9F" w14:textId="77777777" w:rsidR="00773644" w:rsidRDefault="00000000" w:rsidP="00616B9D">
            <w:r>
              <w:t>Seats and interiors</w:t>
            </w:r>
          </w:p>
        </w:tc>
        <w:tc>
          <w:tcPr>
            <w:tcW w:w="1656" w:type="dxa"/>
            <w:tcMar>
              <w:top w:w="70" w:type="dxa"/>
              <w:left w:w="80" w:type="dxa"/>
              <w:bottom w:w="70" w:type="dxa"/>
              <w:right w:w="80" w:type="dxa"/>
            </w:tcMar>
            <w:vAlign w:val="center"/>
          </w:tcPr>
          <w:p w14:paraId="36EA9EED" w14:textId="77777777" w:rsidR="00773644" w:rsidRDefault="00000000" w:rsidP="00616B9D">
            <w:r>
              <w:t>United States</w:t>
            </w:r>
          </w:p>
        </w:tc>
        <w:tc>
          <w:tcPr>
            <w:tcW w:w="1440" w:type="dxa"/>
            <w:tcMar>
              <w:top w:w="70" w:type="dxa"/>
              <w:left w:w="80" w:type="dxa"/>
              <w:bottom w:w="70" w:type="dxa"/>
              <w:right w:w="80" w:type="dxa"/>
            </w:tcMar>
            <w:vAlign w:val="center"/>
          </w:tcPr>
          <w:p w14:paraId="61DFC788" w14:textId="77777777" w:rsidR="00773644" w:rsidRDefault="00000000" w:rsidP="00616B9D">
            <w:r>
              <w:t>2 weeks</w:t>
            </w:r>
          </w:p>
        </w:tc>
        <w:tc>
          <w:tcPr>
            <w:tcW w:w="1440" w:type="dxa"/>
            <w:tcMar>
              <w:top w:w="70" w:type="dxa"/>
              <w:left w:w="80" w:type="dxa"/>
              <w:bottom w:w="70" w:type="dxa"/>
              <w:right w:w="80" w:type="dxa"/>
            </w:tcMar>
            <w:vAlign w:val="center"/>
          </w:tcPr>
          <w:p w14:paraId="60F699A6" w14:textId="77777777" w:rsidR="00773644" w:rsidRDefault="00000000" w:rsidP="00616B9D">
            <w:r>
              <w:t>1.3 weeks</w:t>
            </w:r>
          </w:p>
        </w:tc>
        <w:tc>
          <w:tcPr>
            <w:tcW w:w="3816" w:type="dxa"/>
            <w:tcMar>
              <w:top w:w="70" w:type="dxa"/>
              <w:left w:w="80" w:type="dxa"/>
              <w:bottom w:w="70" w:type="dxa"/>
              <w:right w:w="80" w:type="dxa"/>
            </w:tcMar>
            <w:vAlign w:val="center"/>
          </w:tcPr>
          <w:p w14:paraId="6F716F10" w14:textId="77777777" w:rsidR="00773644" w:rsidRDefault="00000000" w:rsidP="00616B9D">
            <w:r>
              <w:t>Sequence-specific, low substitutability</w:t>
            </w:r>
          </w:p>
        </w:tc>
      </w:tr>
    </w:tbl>
    <w:p w14:paraId="44013759" w14:textId="77777777" w:rsidR="00773644" w:rsidRDefault="00000000" w:rsidP="00616B9D">
      <w:pPr>
        <w:pStyle w:val="Heading1"/>
      </w:pPr>
      <w:r>
        <w:lastRenderedPageBreak/>
        <w:t>External Signals That Did Not Move Together</w:t>
      </w:r>
    </w:p>
    <w:p w14:paraId="7DB525C6" w14:textId="77777777" w:rsidR="00773644" w:rsidRDefault="00000000" w:rsidP="00616B9D">
      <w:r>
        <w:t>Battery economics suggested that electrified vehicles should become steadily easier to produce. U.S. Department of Energy estimates placed light-duty electric-vehicle battery-pack cost at $1,415 per usable kWh in 2008 and $139 in 2023, a decline of about 90 percent in constant dollars. But Aurora’s small hybrid pack represented only part of total powertrain cost, and tariff treatment depended on chemistry, origin, and classification. In 2024, the United States raised the Section 301 tariff on lithium-ion EV batteries from China to 25 percent. In 2025, a separate action imposed a 25 percent tariff on specified imported automobiles and key automobile parts, although subsequent country agreements created different effective rates, including a framework targeting a combined 15 percent rate for covered EU automotive goods.</w:t>
      </w:r>
    </w:p>
    <w:p w14:paraId="297711F8" w14:textId="77777777" w:rsidR="00773644" w:rsidRDefault="00000000" w:rsidP="00616B9D">
      <w:r>
        <w:t>Energy prices created a different uncertainty. Annual WTI crude oil averaged about $39 per barrel in 2020, $68 in 2021, $95 in 2022, $78 in 2023, and $77 in 2024. The sequence reminded executives that wars, sanctions, production decisions, and shipping disruptions could rapidly change the value customers placed on fuel economy. Yet a high oil price could retreat before Aurora received parts ordered in response to it.</w:t>
      </w:r>
    </w:p>
    <w:tbl>
      <w:tblPr>
        <w:tblStyle w:val="TableGrid"/>
        <w:tblW w:w="0" w:type="auto"/>
        <w:jc w:val="center"/>
        <w:tblLook w:val="04A0" w:firstRow="1" w:lastRow="0" w:firstColumn="1" w:lastColumn="0" w:noHBand="0" w:noVBand="1"/>
      </w:tblPr>
      <w:tblGrid>
        <w:gridCol w:w="789"/>
        <w:gridCol w:w="1788"/>
        <w:gridCol w:w="2214"/>
        <w:gridCol w:w="5481"/>
      </w:tblGrid>
      <w:tr w:rsidR="00773644" w14:paraId="12DFA32A" w14:textId="77777777">
        <w:trPr>
          <w:tblHeader/>
          <w:jc w:val="center"/>
        </w:trPr>
        <w:tc>
          <w:tcPr>
            <w:tcW w:w="792" w:type="dxa"/>
            <w:shd w:val="clear" w:color="auto" w:fill="1F4E5F"/>
            <w:tcMar>
              <w:top w:w="70" w:type="dxa"/>
              <w:left w:w="80" w:type="dxa"/>
              <w:bottom w:w="70" w:type="dxa"/>
              <w:right w:w="80" w:type="dxa"/>
            </w:tcMar>
            <w:vAlign w:val="center"/>
          </w:tcPr>
          <w:p w14:paraId="57F92671" w14:textId="77777777" w:rsidR="00773644" w:rsidRDefault="00000000" w:rsidP="00616B9D">
            <w:r>
              <w:t>Year</w:t>
            </w:r>
          </w:p>
        </w:tc>
        <w:tc>
          <w:tcPr>
            <w:tcW w:w="1800" w:type="dxa"/>
            <w:shd w:val="clear" w:color="auto" w:fill="1F4E5F"/>
            <w:tcMar>
              <w:top w:w="70" w:type="dxa"/>
              <w:left w:w="80" w:type="dxa"/>
              <w:bottom w:w="70" w:type="dxa"/>
              <w:right w:w="80" w:type="dxa"/>
            </w:tcMar>
            <w:vAlign w:val="center"/>
          </w:tcPr>
          <w:p w14:paraId="0C44A49B" w14:textId="77777777" w:rsidR="00773644" w:rsidRDefault="00000000" w:rsidP="00616B9D">
            <w:r>
              <w:t>WTI crude oil ($/barrel)</w:t>
            </w:r>
          </w:p>
        </w:tc>
        <w:tc>
          <w:tcPr>
            <w:tcW w:w="2232" w:type="dxa"/>
            <w:shd w:val="clear" w:color="auto" w:fill="1F4E5F"/>
            <w:tcMar>
              <w:top w:w="70" w:type="dxa"/>
              <w:left w:w="80" w:type="dxa"/>
              <w:bottom w:w="70" w:type="dxa"/>
              <w:right w:w="80" w:type="dxa"/>
            </w:tcMar>
            <w:vAlign w:val="center"/>
          </w:tcPr>
          <w:p w14:paraId="406B82D5" w14:textId="77777777" w:rsidR="00773644" w:rsidRDefault="00000000" w:rsidP="00616B9D">
            <w:r>
              <w:t>DOE battery-pack cost ($/usable kWh)</w:t>
            </w:r>
          </w:p>
        </w:tc>
        <w:tc>
          <w:tcPr>
            <w:tcW w:w="5544" w:type="dxa"/>
            <w:shd w:val="clear" w:color="auto" w:fill="1F4E5F"/>
            <w:tcMar>
              <w:top w:w="70" w:type="dxa"/>
              <w:left w:w="80" w:type="dxa"/>
              <w:bottom w:w="70" w:type="dxa"/>
              <w:right w:w="80" w:type="dxa"/>
            </w:tcMar>
            <w:vAlign w:val="center"/>
          </w:tcPr>
          <w:p w14:paraId="77870BE1" w14:textId="77777777" w:rsidR="00773644" w:rsidRDefault="00000000" w:rsidP="00616B9D">
            <w:r>
              <w:t>Selected market/policy signal</w:t>
            </w:r>
          </w:p>
        </w:tc>
      </w:tr>
      <w:tr w:rsidR="00773644" w14:paraId="06CB2631" w14:textId="77777777">
        <w:trPr>
          <w:jc w:val="center"/>
        </w:trPr>
        <w:tc>
          <w:tcPr>
            <w:tcW w:w="792" w:type="dxa"/>
            <w:tcMar>
              <w:top w:w="70" w:type="dxa"/>
              <w:left w:w="80" w:type="dxa"/>
              <w:bottom w:w="70" w:type="dxa"/>
              <w:right w:w="80" w:type="dxa"/>
            </w:tcMar>
            <w:vAlign w:val="center"/>
          </w:tcPr>
          <w:p w14:paraId="28832F71" w14:textId="77777777" w:rsidR="00773644" w:rsidRDefault="00000000" w:rsidP="00616B9D">
            <w:r>
              <w:t>2008</w:t>
            </w:r>
          </w:p>
        </w:tc>
        <w:tc>
          <w:tcPr>
            <w:tcW w:w="1800" w:type="dxa"/>
            <w:tcMar>
              <w:top w:w="70" w:type="dxa"/>
              <w:left w:w="80" w:type="dxa"/>
              <w:bottom w:w="70" w:type="dxa"/>
              <w:right w:w="80" w:type="dxa"/>
            </w:tcMar>
            <w:vAlign w:val="center"/>
          </w:tcPr>
          <w:p w14:paraId="4BBFC9D5" w14:textId="77777777" w:rsidR="00773644" w:rsidRDefault="00000000" w:rsidP="00616B9D">
            <w:r>
              <w:t>99.67*</w:t>
            </w:r>
          </w:p>
        </w:tc>
        <w:tc>
          <w:tcPr>
            <w:tcW w:w="2232" w:type="dxa"/>
            <w:tcMar>
              <w:top w:w="70" w:type="dxa"/>
              <w:left w:w="80" w:type="dxa"/>
              <w:bottom w:w="70" w:type="dxa"/>
              <w:right w:w="80" w:type="dxa"/>
            </w:tcMar>
            <w:vAlign w:val="center"/>
          </w:tcPr>
          <w:p w14:paraId="17AECAAC" w14:textId="77777777" w:rsidR="00773644" w:rsidRDefault="00000000" w:rsidP="00616B9D">
            <w:r>
              <w:t>1,415</w:t>
            </w:r>
          </w:p>
        </w:tc>
        <w:tc>
          <w:tcPr>
            <w:tcW w:w="5544" w:type="dxa"/>
            <w:tcMar>
              <w:top w:w="70" w:type="dxa"/>
              <w:left w:w="80" w:type="dxa"/>
              <w:bottom w:w="70" w:type="dxa"/>
              <w:right w:w="80" w:type="dxa"/>
            </w:tcMar>
            <w:vAlign w:val="center"/>
          </w:tcPr>
          <w:p w14:paraId="27A1D73E" w14:textId="77777777" w:rsidR="00773644" w:rsidRDefault="00000000" w:rsidP="00616B9D">
            <w:r>
              <w:t>High oil volatility; early electrification investment</w:t>
            </w:r>
          </w:p>
        </w:tc>
      </w:tr>
      <w:tr w:rsidR="00773644" w14:paraId="120C198B" w14:textId="77777777">
        <w:trPr>
          <w:jc w:val="center"/>
        </w:trPr>
        <w:tc>
          <w:tcPr>
            <w:tcW w:w="792" w:type="dxa"/>
            <w:shd w:val="clear" w:color="auto" w:fill="EAF1F3"/>
            <w:tcMar>
              <w:top w:w="70" w:type="dxa"/>
              <w:left w:w="80" w:type="dxa"/>
              <w:bottom w:w="70" w:type="dxa"/>
              <w:right w:w="80" w:type="dxa"/>
            </w:tcMar>
            <w:vAlign w:val="center"/>
          </w:tcPr>
          <w:p w14:paraId="3A84CFE9" w14:textId="77777777" w:rsidR="00773644" w:rsidRDefault="00000000" w:rsidP="00616B9D">
            <w:r>
              <w:t>2020</w:t>
            </w:r>
          </w:p>
        </w:tc>
        <w:tc>
          <w:tcPr>
            <w:tcW w:w="1800" w:type="dxa"/>
            <w:shd w:val="clear" w:color="auto" w:fill="EAF1F3"/>
            <w:tcMar>
              <w:top w:w="70" w:type="dxa"/>
              <w:left w:w="80" w:type="dxa"/>
              <w:bottom w:w="70" w:type="dxa"/>
              <w:right w:w="80" w:type="dxa"/>
            </w:tcMar>
            <w:vAlign w:val="center"/>
          </w:tcPr>
          <w:p w14:paraId="1428FAA2" w14:textId="77777777" w:rsidR="00773644" w:rsidRDefault="00000000" w:rsidP="00616B9D">
            <w:r>
              <w:t>39.16</w:t>
            </w:r>
          </w:p>
        </w:tc>
        <w:tc>
          <w:tcPr>
            <w:tcW w:w="2232" w:type="dxa"/>
            <w:shd w:val="clear" w:color="auto" w:fill="EAF1F3"/>
            <w:tcMar>
              <w:top w:w="70" w:type="dxa"/>
              <w:left w:w="80" w:type="dxa"/>
              <w:bottom w:w="70" w:type="dxa"/>
              <w:right w:w="80" w:type="dxa"/>
            </w:tcMar>
            <w:vAlign w:val="center"/>
          </w:tcPr>
          <w:p w14:paraId="0323DC4B" w14:textId="77777777" w:rsidR="00773644" w:rsidRDefault="00000000" w:rsidP="00616B9D">
            <w:r>
              <w:t>—</w:t>
            </w:r>
          </w:p>
        </w:tc>
        <w:tc>
          <w:tcPr>
            <w:tcW w:w="5544" w:type="dxa"/>
            <w:shd w:val="clear" w:color="auto" w:fill="EAF1F3"/>
            <w:tcMar>
              <w:top w:w="70" w:type="dxa"/>
              <w:left w:w="80" w:type="dxa"/>
              <w:bottom w:w="70" w:type="dxa"/>
              <w:right w:w="80" w:type="dxa"/>
            </w:tcMar>
            <w:vAlign w:val="center"/>
          </w:tcPr>
          <w:p w14:paraId="11C6C8A5" w14:textId="77777777" w:rsidR="00773644" w:rsidRDefault="00000000" w:rsidP="00616B9D">
            <w:r>
              <w:t>Pandemic demand shock</w:t>
            </w:r>
          </w:p>
        </w:tc>
      </w:tr>
      <w:tr w:rsidR="00773644" w14:paraId="1B216D18" w14:textId="77777777">
        <w:trPr>
          <w:jc w:val="center"/>
        </w:trPr>
        <w:tc>
          <w:tcPr>
            <w:tcW w:w="792" w:type="dxa"/>
            <w:tcMar>
              <w:top w:w="70" w:type="dxa"/>
              <w:left w:w="80" w:type="dxa"/>
              <w:bottom w:w="70" w:type="dxa"/>
              <w:right w:w="80" w:type="dxa"/>
            </w:tcMar>
            <w:vAlign w:val="center"/>
          </w:tcPr>
          <w:p w14:paraId="753CAB6E" w14:textId="77777777" w:rsidR="00773644" w:rsidRDefault="00000000" w:rsidP="00616B9D">
            <w:r>
              <w:t>2021</w:t>
            </w:r>
          </w:p>
        </w:tc>
        <w:tc>
          <w:tcPr>
            <w:tcW w:w="1800" w:type="dxa"/>
            <w:tcMar>
              <w:top w:w="70" w:type="dxa"/>
              <w:left w:w="80" w:type="dxa"/>
              <w:bottom w:w="70" w:type="dxa"/>
              <w:right w:w="80" w:type="dxa"/>
            </w:tcMar>
            <w:vAlign w:val="center"/>
          </w:tcPr>
          <w:p w14:paraId="3389952C" w14:textId="77777777" w:rsidR="00773644" w:rsidRDefault="00000000" w:rsidP="00616B9D">
            <w:r>
              <w:t>68.13</w:t>
            </w:r>
          </w:p>
        </w:tc>
        <w:tc>
          <w:tcPr>
            <w:tcW w:w="2232" w:type="dxa"/>
            <w:tcMar>
              <w:top w:w="70" w:type="dxa"/>
              <w:left w:w="80" w:type="dxa"/>
              <w:bottom w:w="70" w:type="dxa"/>
              <w:right w:w="80" w:type="dxa"/>
            </w:tcMar>
            <w:vAlign w:val="center"/>
          </w:tcPr>
          <w:p w14:paraId="402C765A" w14:textId="77777777" w:rsidR="00773644" w:rsidRDefault="00000000" w:rsidP="00616B9D">
            <w:r>
              <w:t>157</w:t>
            </w:r>
          </w:p>
        </w:tc>
        <w:tc>
          <w:tcPr>
            <w:tcW w:w="5544" w:type="dxa"/>
            <w:tcMar>
              <w:top w:w="70" w:type="dxa"/>
              <w:left w:w="80" w:type="dxa"/>
              <w:bottom w:w="70" w:type="dxa"/>
              <w:right w:w="80" w:type="dxa"/>
            </w:tcMar>
            <w:vAlign w:val="center"/>
          </w:tcPr>
          <w:p w14:paraId="04C52B79" w14:textId="77777777" w:rsidR="00773644" w:rsidRDefault="00000000" w:rsidP="00616B9D">
            <w:r>
              <w:t>Fuel demand recovery</w:t>
            </w:r>
          </w:p>
        </w:tc>
      </w:tr>
      <w:tr w:rsidR="00773644" w14:paraId="166910D4" w14:textId="77777777">
        <w:trPr>
          <w:jc w:val="center"/>
        </w:trPr>
        <w:tc>
          <w:tcPr>
            <w:tcW w:w="792" w:type="dxa"/>
            <w:shd w:val="clear" w:color="auto" w:fill="EAF1F3"/>
            <w:tcMar>
              <w:top w:w="70" w:type="dxa"/>
              <w:left w:w="80" w:type="dxa"/>
              <w:bottom w:w="70" w:type="dxa"/>
              <w:right w:w="80" w:type="dxa"/>
            </w:tcMar>
            <w:vAlign w:val="center"/>
          </w:tcPr>
          <w:p w14:paraId="6C62E4AB" w14:textId="77777777" w:rsidR="00773644" w:rsidRDefault="00000000" w:rsidP="00616B9D">
            <w:r>
              <w:t>2022</w:t>
            </w:r>
          </w:p>
        </w:tc>
        <w:tc>
          <w:tcPr>
            <w:tcW w:w="1800" w:type="dxa"/>
            <w:shd w:val="clear" w:color="auto" w:fill="EAF1F3"/>
            <w:tcMar>
              <w:top w:w="70" w:type="dxa"/>
              <w:left w:w="80" w:type="dxa"/>
              <w:bottom w:w="70" w:type="dxa"/>
              <w:right w:w="80" w:type="dxa"/>
            </w:tcMar>
            <w:vAlign w:val="center"/>
          </w:tcPr>
          <w:p w14:paraId="28EB61BE" w14:textId="77777777" w:rsidR="00773644" w:rsidRDefault="00000000" w:rsidP="00616B9D">
            <w:r>
              <w:t>94.90</w:t>
            </w:r>
          </w:p>
        </w:tc>
        <w:tc>
          <w:tcPr>
            <w:tcW w:w="2232" w:type="dxa"/>
            <w:shd w:val="clear" w:color="auto" w:fill="EAF1F3"/>
            <w:tcMar>
              <w:top w:w="70" w:type="dxa"/>
              <w:left w:w="80" w:type="dxa"/>
              <w:bottom w:w="70" w:type="dxa"/>
              <w:right w:w="80" w:type="dxa"/>
            </w:tcMar>
            <w:vAlign w:val="center"/>
          </w:tcPr>
          <w:p w14:paraId="691185F8" w14:textId="77777777" w:rsidR="00773644" w:rsidRDefault="00000000" w:rsidP="00616B9D">
            <w:r>
              <w:t>153</w:t>
            </w:r>
          </w:p>
        </w:tc>
        <w:tc>
          <w:tcPr>
            <w:tcW w:w="5544" w:type="dxa"/>
            <w:shd w:val="clear" w:color="auto" w:fill="EAF1F3"/>
            <w:tcMar>
              <w:top w:w="70" w:type="dxa"/>
              <w:left w:w="80" w:type="dxa"/>
              <w:bottom w:w="70" w:type="dxa"/>
              <w:right w:w="80" w:type="dxa"/>
            </w:tcMar>
            <w:vAlign w:val="center"/>
          </w:tcPr>
          <w:p w14:paraId="604D7407" w14:textId="77777777" w:rsidR="00773644" w:rsidRDefault="00000000" w:rsidP="00616B9D">
            <w:r>
              <w:t>War-related energy shock; IRA enacted</w:t>
            </w:r>
          </w:p>
        </w:tc>
      </w:tr>
      <w:tr w:rsidR="00773644" w14:paraId="033103B0" w14:textId="77777777">
        <w:trPr>
          <w:jc w:val="center"/>
        </w:trPr>
        <w:tc>
          <w:tcPr>
            <w:tcW w:w="792" w:type="dxa"/>
            <w:tcMar>
              <w:top w:w="70" w:type="dxa"/>
              <w:left w:w="80" w:type="dxa"/>
              <w:bottom w:w="70" w:type="dxa"/>
              <w:right w:w="80" w:type="dxa"/>
            </w:tcMar>
            <w:vAlign w:val="center"/>
          </w:tcPr>
          <w:p w14:paraId="57B75826" w14:textId="77777777" w:rsidR="00773644" w:rsidRDefault="00000000" w:rsidP="00616B9D">
            <w:r>
              <w:t>2023</w:t>
            </w:r>
          </w:p>
        </w:tc>
        <w:tc>
          <w:tcPr>
            <w:tcW w:w="1800" w:type="dxa"/>
            <w:tcMar>
              <w:top w:w="70" w:type="dxa"/>
              <w:left w:w="80" w:type="dxa"/>
              <w:bottom w:w="70" w:type="dxa"/>
              <w:right w:w="80" w:type="dxa"/>
            </w:tcMar>
            <w:vAlign w:val="center"/>
          </w:tcPr>
          <w:p w14:paraId="2FBDA06B" w14:textId="77777777" w:rsidR="00773644" w:rsidRDefault="00000000" w:rsidP="00616B9D">
            <w:r>
              <w:t>77.58</w:t>
            </w:r>
          </w:p>
        </w:tc>
        <w:tc>
          <w:tcPr>
            <w:tcW w:w="2232" w:type="dxa"/>
            <w:tcMar>
              <w:top w:w="70" w:type="dxa"/>
              <w:left w:w="80" w:type="dxa"/>
              <w:bottom w:w="70" w:type="dxa"/>
              <w:right w:w="80" w:type="dxa"/>
            </w:tcMar>
            <w:vAlign w:val="center"/>
          </w:tcPr>
          <w:p w14:paraId="18BFF0F4" w14:textId="77777777" w:rsidR="00773644" w:rsidRDefault="00000000" w:rsidP="00616B9D">
            <w:r>
              <w:t>139</w:t>
            </w:r>
          </w:p>
        </w:tc>
        <w:tc>
          <w:tcPr>
            <w:tcW w:w="5544" w:type="dxa"/>
            <w:tcMar>
              <w:top w:w="70" w:type="dxa"/>
              <w:left w:w="80" w:type="dxa"/>
              <w:bottom w:w="70" w:type="dxa"/>
              <w:right w:w="80" w:type="dxa"/>
            </w:tcMar>
            <w:vAlign w:val="center"/>
          </w:tcPr>
          <w:p w14:paraId="168B9071" w14:textId="77777777" w:rsidR="00773644" w:rsidRDefault="00000000" w:rsidP="00616B9D">
            <w:r>
              <w:t>New mineral and battery-component rules begin</w:t>
            </w:r>
          </w:p>
        </w:tc>
      </w:tr>
      <w:tr w:rsidR="00773644" w14:paraId="56AC04B4" w14:textId="77777777">
        <w:trPr>
          <w:jc w:val="center"/>
        </w:trPr>
        <w:tc>
          <w:tcPr>
            <w:tcW w:w="792" w:type="dxa"/>
            <w:shd w:val="clear" w:color="auto" w:fill="EAF1F3"/>
            <w:tcMar>
              <w:top w:w="70" w:type="dxa"/>
              <w:left w:w="80" w:type="dxa"/>
              <w:bottom w:w="70" w:type="dxa"/>
              <w:right w:w="80" w:type="dxa"/>
            </w:tcMar>
            <w:vAlign w:val="center"/>
          </w:tcPr>
          <w:p w14:paraId="0A67391A" w14:textId="77777777" w:rsidR="00773644" w:rsidRDefault="00000000" w:rsidP="00616B9D">
            <w:r>
              <w:t>2024</w:t>
            </w:r>
          </w:p>
        </w:tc>
        <w:tc>
          <w:tcPr>
            <w:tcW w:w="1800" w:type="dxa"/>
            <w:shd w:val="clear" w:color="auto" w:fill="EAF1F3"/>
            <w:tcMar>
              <w:top w:w="70" w:type="dxa"/>
              <w:left w:w="80" w:type="dxa"/>
              <w:bottom w:w="70" w:type="dxa"/>
              <w:right w:w="80" w:type="dxa"/>
            </w:tcMar>
            <w:vAlign w:val="center"/>
          </w:tcPr>
          <w:p w14:paraId="35065CD6" w14:textId="77777777" w:rsidR="00773644" w:rsidRDefault="00000000" w:rsidP="00616B9D">
            <w:r>
              <w:t>76.63</w:t>
            </w:r>
          </w:p>
        </w:tc>
        <w:tc>
          <w:tcPr>
            <w:tcW w:w="2232" w:type="dxa"/>
            <w:shd w:val="clear" w:color="auto" w:fill="EAF1F3"/>
            <w:tcMar>
              <w:top w:w="70" w:type="dxa"/>
              <w:left w:w="80" w:type="dxa"/>
              <w:bottom w:w="70" w:type="dxa"/>
              <w:right w:w="80" w:type="dxa"/>
            </w:tcMar>
            <w:vAlign w:val="center"/>
          </w:tcPr>
          <w:p w14:paraId="502445AA" w14:textId="77777777" w:rsidR="00773644" w:rsidRDefault="00000000" w:rsidP="00616B9D">
            <w:r>
              <w:t>—</w:t>
            </w:r>
          </w:p>
        </w:tc>
        <w:tc>
          <w:tcPr>
            <w:tcW w:w="5544" w:type="dxa"/>
            <w:shd w:val="clear" w:color="auto" w:fill="EAF1F3"/>
            <w:tcMar>
              <w:top w:w="70" w:type="dxa"/>
              <w:left w:w="80" w:type="dxa"/>
              <w:bottom w:w="70" w:type="dxa"/>
              <w:right w:w="80" w:type="dxa"/>
            </w:tcMar>
            <w:vAlign w:val="center"/>
          </w:tcPr>
          <w:p w14:paraId="1A9163BD" w14:textId="77777777" w:rsidR="00773644" w:rsidRDefault="00000000" w:rsidP="00616B9D">
            <w:r>
              <w:t>China EV-battery tariff raised to 25%</w:t>
            </w:r>
          </w:p>
        </w:tc>
      </w:tr>
      <w:tr w:rsidR="00773644" w14:paraId="699D67F5" w14:textId="77777777">
        <w:trPr>
          <w:jc w:val="center"/>
        </w:trPr>
        <w:tc>
          <w:tcPr>
            <w:tcW w:w="792" w:type="dxa"/>
            <w:tcMar>
              <w:top w:w="70" w:type="dxa"/>
              <w:left w:w="80" w:type="dxa"/>
              <w:bottom w:w="70" w:type="dxa"/>
              <w:right w:w="80" w:type="dxa"/>
            </w:tcMar>
            <w:vAlign w:val="center"/>
          </w:tcPr>
          <w:p w14:paraId="203D4C54" w14:textId="77777777" w:rsidR="00773644" w:rsidRDefault="00000000" w:rsidP="00616B9D">
            <w:r>
              <w:t>2025</w:t>
            </w:r>
          </w:p>
        </w:tc>
        <w:tc>
          <w:tcPr>
            <w:tcW w:w="1800" w:type="dxa"/>
            <w:tcMar>
              <w:top w:w="70" w:type="dxa"/>
              <w:left w:w="80" w:type="dxa"/>
              <w:bottom w:w="70" w:type="dxa"/>
              <w:right w:w="80" w:type="dxa"/>
            </w:tcMar>
            <w:vAlign w:val="center"/>
          </w:tcPr>
          <w:p w14:paraId="6AA5EB4F" w14:textId="77777777" w:rsidR="00773644" w:rsidRDefault="00000000" w:rsidP="00616B9D">
            <w:r>
              <w:t>65.39</w:t>
            </w:r>
          </w:p>
        </w:tc>
        <w:tc>
          <w:tcPr>
            <w:tcW w:w="2232" w:type="dxa"/>
            <w:tcMar>
              <w:top w:w="70" w:type="dxa"/>
              <w:left w:w="80" w:type="dxa"/>
              <w:bottom w:w="70" w:type="dxa"/>
              <w:right w:w="80" w:type="dxa"/>
            </w:tcMar>
            <w:vAlign w:val="center"/>
          </w:tcPr>
          <w:p w14:paraId="7A4129C3" w14:textId="77777777" w:rsidR="00773644" w:rsidRDefault="00000000" w:rsidP="00616B9D">
            <w:r>
              <w:t>—</w:t>
            </w:r>
          </w:p>
        </w:tc>
        <w:tc>
          <w:tcPr>
            <w:tcW w:w="5544" w:type="dxa"/>
            <w:tcMar>
              <w:top w:w="70" w:type="dxa"/>
              <w:left w:w="80" w:type="dxa"/>
              <w:bottom w:w="70" w:type="dxa"/>
              <w:right w:w="80" w:type="dxa"/>
            </w:tcMar>
            <w:vAlign w:val="center"/>
          </w:tcPr>
          <w:p w14:paraId="30EC058B" w14:textId="77777777" w:rsidR="00773644" w:rsidRDefault="00000000" w:rsidP="00616B9D">
            <w:r>
              <w:t>Auto/parts tariffs; new clean-vehicle credit ends Sept. 30</w:t>
            </w:r>
          </w:p>
        </w:tc>
      </w:tr>
    </w:tbl>
    <w:p w14:paraId="56AA0043" w14:textId="77777777" w:rsidR="00773644" w:rsidRDefault="00000000" w:rsidP="00616B9D">
      <w:r>
        <w:t>*2008 value is an EIA annual WTI spot-price series value; battery costs are constant-dollar DOE estimates and are not directly comparable across every annual release.</w:t>
      </w:r>
    </w:p>
    <w:p w14:paraId="52D8F782" w14:textId="77777777" w:rsidR="00773644" w:rsidRDefault="00000000" w:rsidP="00616B9D">
      <w:pPr>
        <w:pStyle w:val="Heading1"/>
      </w:pPr>
      <w:r>
        <w:t>Demand Was Becoming More Attractive - and Less Predictable</w:t>
      </w:r>
    </w:p>
    <w:p w14:paraId="689C2904" w14:textId="77777777" w:rsidR="00773644" w:rsidRDefault="00000000" w:rsidP="00616B9D">
      <w:r>
        <w:t>Consumer attitudes complicated the picture. AAA reported in 2024 that 18 percent of U.S. adults were likely to buy a fully electric vehicle, down from 23 percent a year earlier, while 31 percent said they were likely to buy a hybrid. In 2025, stated likelihood of buying a fully electric vehicle fell again to 16 percent. Aurora’s dealers interpreted the figures as evidence that hybrids were becoming a practical bridge technology. The sales organization cautioned, however, that survey interest did not necessarily translate into signed orders at Aurora’s price points.</w:t>
      </w:r>
    </w:p>
    <w:p w14:paraId="49DE62C8" w14:textId="77777777" w:rsidR="00773644" w:rsidRDefault="00000000" w:rsidP="00616B9D">
      <w:r>
        <w:t>Federal incentives added another discontinuity. The revised clean-vehicle credit had required North American final assembly and, beginning in 2023, increasingly restrictive critical-mineral and battery-component sourcing tests. Plug-in hybrids with at least 7 kWh could qualify if they met the rules, but Aurora’s conventional Crosswind hybrid did not. Aurora had therefore accelerated development of a plug-in version. That program’s economics changed when federal guidance stated that the new clean-vehicle credit was unavailable for vehicles acquired after September 30, 2025. Dealers still had state incentives in some markets, but availability and amounts differed.</w:t>
      </w:r>
    </w:p>
    <w:p w14:paraId="738074CF" w14:textId="77777777" w:rsidR="00773644" w:rsidRDefault="00000000" w:rsidP="00616B9D">
      <w:pPr>
        <w:pStyle w:val="Heading1"/>
      </w:pPr>
      <w:r>
        <w:lastRenderedPageBreak/>
        <w:t>The October Planning Problem</w:t>
      </w:r>
    </w:p>
    <w:p w14:paraId="220E2775" w14:textId="77777777" w:rsidR="00773644" w:rsidRDefault="00000000" w:rsidP="00616B9D">
      <w:r>
        <w:t>Aurora’s planning team prepared three demand scenarios for the next 16 weeks. The scenarios were not probabilities; each represented a coherent story that senior management considered plausible.</w:t>
      </w:r>
    </w:p>
    <w:tbl>
      <w:tblPr>
        <w:tblStyle w:val="TableGrid"/>
        <w:tblW w:w="0" w:type="auto"/>
        <w:jc w:val="center"/>
        <w:tblLook w:val="04A0" w:firstRow="1" w:lastRow="0" w:firstColumn="1" w:lastColumn="0" w:noHBand="0" w:noVBand="1"/>
      </w:tblPr>
      <w:tblGrid>
        <w:gridCol w:w="1223"/>
        <w:gridCol w:w="2943"/>
        <w:gridCol w:w="1439"/>
        <w:gridCol w:w="1437"/>
        <w:gridCol w:w="3230"/>
      </w:tblGrid>
      <w:tr w:rsidR="00773644" w14:paraId="5FA68245" w14:textId="77777777">
        <w:trPr>
          <w:tblHeader/>
          <w:jc w:val="center"/>
        </w:trPr>
        <w:tc>
          <w:tcPr>
            <w:tcW w:w="1224" w:type="dxa"/>
            <w:shd w:val="clear" w:color="auto" w:fill="1F4E5F"/>
            <w:tcMar>
              <w:top w:w="70" w:type="dxa"/>
              <w:left w:w="80" w:type="dxa"/>
              <w:bottom w:w="70" w:type="dxa"/>
              <w:right w:w="80" w:type="dxa"/>
            </w:tcMar>
            <w:vAlign w:val="center"/>
          </w:tcPr>
          <w:p w14:paraId="140C6988" w14:textId="77777777" w:rsidR="00773644" w:rsidRDefault="00000000" w:rsidP="00616B9D">
            <w:r>
              <w:t>Scenario</w:t>
            </w:r>
          </w:p>
        </w:tc>
        <w:tc>
          <w:tcPr>
            <w:tcW w:w="2952" w:type="dxa"/>
            <w:shd w:val="clear" w:color="auto" w:fill="1F4E5F"/>
            <w:tcMar>
              <w:top w:w="70" w:type="dxa"/>
              <w:left w:w="80" w:type="dxa"/>
              <w:bottom w:w="70" w:type="dxa"/>
              <w:right w:w="80" w:type="dxa"/>
            </w:tcMar>
            <w:vAlign w:val="center"/>
          </w:tcPr>
          <w:p w14:paraId="3B393875" w14:textId="77777777" w:rsidR="00773644" w:rsidRDefault="00000000" w:rsidP="00616B9D">
            <w:r>
              <w:t>Trigger</w:t>
            </w:r>
          </w:p>
        </w:tc>
        <w:tc>
          <w:tcPr>
            <w:tcW w:w="1440" w:type="dxa"/>
            <w:shd w:val="clear" w:color="auto" w:fill="1F4E5F"/>
            <w:tcMar>
              <w:top w:w="70" w:type="dxa"/>
              <w:left w:w="80" w:type="dxa"/>
              <w:bottom w:w="70" w:type="dxa"/>
              <w:right w:w="80" w:type="dxa"/>
            </w:tcMar>
            <w:vAlign w:val="center"/>
          </w:tcPr>
          <w:p w14:paraId="1D37C73C" w14:textId="77777777" w:rsidR="00773644" w:rsidRDefault="00000000" w:rsidP="00616B9D">
            <w:r>
              <w:t>Crosswind demand</w:t>
            </w:r>
          </w:p>
        </w:tc>
        <w:tc>
          <w:tcPr>
            <w:tcW w:w="1440" w:type="dxa"/>
            <w:shd w:val="clear" w:color="auto" w:fill="1F4E5F"/>
            <w:tcMar>
              <w:top w:w="70" w:type="dxa"/>
              <w:left w:w="80" w:type="dxa"/>
              <w:bottom w:w="70" w:type="dxa"/>
              <w:right w:w="80" w:type="dxa"/>
            </w:tcMar>
            <w:vAlign w:val="center"/>
          </w:tcPr>
          <w:p w14:paraId="7FE2FD65" w14:textId="77777777" w:rsidR="00773644" w:rsidRDefault="00000000" w:rsidP="00616B9D">
            <w:r>
              <w:t>Plug-in demand</w:t>
            </w:r>
          </w:p>
        </w:tc>
        <w:tc>
          <w:tcPr>
            <w:tcW w:w="3240" w:type="dxa"/>
            <w:shd w:val="clear" w:color="auto" w:fill="1F4E5F"/>
            <w:tcMar>
              <w:top w:w="70" w:type="dxa"/>
              <w:left w:w="80" w:type="dxa"/>
              <w:bottom w:w="70" w:type="dxa"/>
              <w:right w:w="80" w:type="dxa"/>
            </w:tcMar>
            <w:vAlign w:val="center"/>
          </w:tcPr>
          <w:p w14:paraId="421FF929" w14:textId="77777777" w:rsidR="00773644" w:rsidRDefault="00000000" w:rsidP="00616B9D">
            <w:r>
              <w:t>Operational consequence</w:t>
            </w:r>
          </w:p>
        </w:tc>
      </w:tr>
      <w:tr w:rsidR="00773644" w14:paraId="77859370" w14:textId="77777777">
        <w:trPr>
          <w:jc w:val="center"/>
        </w:trPr>
        <w:tc>
          <w:tcPr>
            <w:tcW w:w="1224" w:type="dxa"/>
            <w:tcMar>
              <w:top w:w="70" w:type="dxa"/>
              <w:left w:w="80" w:type="dxa"/>
              <w:bottom w:w="70" w:type="dxa"/>
              <w:right w:w="80" w:type="dxa"/>
            </w:tcMar>
            <w:vAlign w:val="center"/>
          </w:tcPr>
          <w:p w14:paraId="11E06BE2" w14:textId="77777777" w:rsidR="00773644" w:rsidRDefault="00000000" w:rsidP="00616B9D">
            <w:r>
              <w:t>Fuel shock</w:t>
            </w:r>
          </w:p>
        </w:tc>
        <w:tc>
          <w:tcPr>
            <w:tcW w:w="2952" w:type="dxa"/>
            <w:tcMar>
              <w:top w:w="70" w:type="dxa"/>
              <w:left w:w="80" w:type="dxa"/>
              <w:bottom w:w="70" w:type="dxa"/>
              <w:right w:w="80" w:type="dxa"/>
            </w:tcMar>
            <w:vAlign w:val="center"/>
          </w:tcPr>
          <w:p w14:paraId="69977645" w14:textId="77777777" w:rsidR="00773644" w:rsidRDefault="00000000" w:rsidP="00616B9D">
            <w:r>
              <w:t>Oil supply disruption; gasoline rises sharply</w:t>
            </w:r>
          </w:p>
        </w:tc>
        <w:tc>
          <w:tcPr>
            <w:tcW w:w="1440" w:type="dxa"/>
            <w:tcMar>
              <w:top w:w="70" w:type="dxa"/>
              <w:left w:w="80" w:type="dxa"/>
              <w:bottom w:w="70" w:type="dxa"/>
              <w:right w:w="80" w:type="dxa"/>
            </w:tcMar>
            <w:vAlign w:val="center"/>
          </w:tcPr>
          <w:p w14:paraId="72A1259B" w14:textId="77777777" w:rsidR="00773644" w:rsidRDefault="00000000" w:rsidP="00616B9D">
            <w:r>
              <w:t>+22%</w:t>
            </w:r>
          </w:p>
        </w:tc>
        <w:tc>
          <w:tcPr>
            <w:tcW w:w="1440" w:type="dxa"/>
            <w:tcMar>
              <w:top w:w="70" w:type="dxa"/>
              <w:left w:w="80" w:type="dxa"/>
              <w:bottom w:w="70" w:type="dxa"/>
              <w:right w:w="80" w:type="dxa"/>
            </w:tcMar>
            <w:vAlign w:val="center"/>
          </w:tcPr>
          <w:p w14:paraId="2B2CA4C5" w14:textId="77777777" w:rsidR="00773644" w:rsidRDefault="00000000" w:rsidP="00616B9D">
            <w:r>
              <w:t>+35%</w:t>
            </w:r>
          </w:p>
        </w:tc>
        <w:tc>
          <w:tcPr>
            <w:tcW w:w="3240" w:type="dxa"/>
            <w:tcMar>
              <w:top w:w="70" w:type="dxa"/>
              <w:left w:w="80" w:type="dxa"/>
              <w:bottom w:w="70" w:type="dxa"/>
              <w:right w:w="80" w:type="dxa"/>
            </w:tcMar>
            <w:vAlign w:val="center"/>
          </w:tcPr>
          <w:p w14:paraId="6AB9DDF9" w14:textId="77777777" w:rsidR="00773644" w:rsidRDefault="00000000" w:rsidP="00616B9D">
            <w:r>
              <w:t>Expedite Asian parts; defer lower-margin models</w:t>
            </w:r>
          </w:p>
        </w:tc>
      </w:tr>
      <w:tr w:rsidR="00773644" w14:paraId="06252073" w14:textId="77777777">
        <w:trPr>
          <w:jc w:val="center"/>
        </w:trPr>
        <w:tc>
          <w:tcPr>
            <w:tcW w:w="1224" w:type="dxa"/>
            <w:shd w:val="clear" w:color="auto" w:fill="EAF1F3"/>
            <w:tcMar>
              <w:top w:w="70" w:type="dxa"/>
              <w:left w:w="80" w:type="dxa"/>
              <w:bottom w:w="70" w:type="dxa"/>
              <w:right w:w="80" w:type="dxa"/>
            </w:tcMar>
            <w:vAlign w:val="center"/>
          </w:tcPr>
          <w:p w14:paraId="5A7624CD" w14:textId="77777777" w:rsidR="00773644" w:rsidRDefault="00000000" w:rsidP="00616B9D">
            <w:r>
              <w:t>Policy hangover</w:t>
            </w:r>
          </w:p>
        </w:tc>
        <w:tc>
          <w:tcPr>
            <w:tcW w:w="2952" w:type="dxa"/>
            <w:shd w:val="clear" w:color="auto" w:fill="EAF1F3"/>
            <w:tcMar>
              <w:top w:w="70" w:type="dxa"/>
              <w:left w:w="80" w:type="dxa"/>
              <w:bottom w:w="70" w:type="dxa"/>
              <w:right w:w="80" w:type="dxa"/>
            </w:tcMar>
            <w:vAlign w:val="center"/>
          </w:tcPr>
          <w:p w14:paraId="016EA2B8" w14:textId="77777777" w:rsidR="00773644" w:rsidRDefault="00000000" w:rsidP="00616B9D">
            <w:r>
              <w:t>Credit withdrawal depresses electrified demand</w:t>
            </w:r>
          </w:p>
        </w:tc>
        <w:tc>
          <w:tcPr>
            <w:tcW w:w="1440" w:type="dxa"/>
            <w:shd w:val="clear" w:color="auto" w:fill="EAF1F3"/>
            <w:tcMar>
              <w:top w:w="70" w:type="dxa"/>
              <w:left w:w="80" w:type="dxa"/>
              <w:bottom w:w="70" w:type="dxa"/>
              <w:right w:w="80" w:type="dxa"/>
            </w:tcMar>
            <w:vAlign w:val="center"/>
          </w:tcPr>
          <w:p w14:paraId="0C6522F2" w14:textId="77777777" w:rsidR="00773644" w:rsidRDefault="00000000" w:rsidP="00616B9D">
            <w:r>
              <w:t>-8%</w:t>
            </w:r>
          </w:p>
        </w:tc>
        <w:tc>
          <w:tcPr>
            <w:tcW w:w="1440" w:type="dxa"/>
            <w:shd w:val="clear" w:color="auto" w:fill="EAF1F3"/>
            <w:tcMar>
              <w:top w:w="70" w:type="dxa"/>
              <w:left w:w="80" w:type="dxa"/>
              <w:bottom w:w="70" w:type="dxa"/>
              <w:right w:w="80" w:type="dxa"/>
            </w:tcMar>
            <w:vAlign w:val="center"/>
          </w:tcPr>
          <w:p w14:paraId="1EFA56F0" w14:textId="77777777" w:rsidR="00773644" w:rsidRDefault="00000000" w:rsidP="00616B9D">
            <w:r>
              <w:t>-28%</w:t>
            </w:r>
          </w:p>
        </w:tc>
        <w:tc>
          <w:tcPr>
            <w:tcW w:w="3240" w:type="dxa"/>
            <w:shd w:val="clear" w:color="auto" w:fill="EAF1F3"/>
            <w:tcMar>
              <w:top w:w="70" w:type="dxa"/>
              <w:left w:w="80" w:type="dxa"/>
              <w:bottom w:w="70" w:type="dxa"/>
              <w:right w:w="80" w:type="dxa"/>
            </w:tcMar>
            <w:vAlign w:val="center"/>
          </w:tcPr>
          <w:p w14:paraId="04E5FCEF" w14:textId="77777777" w:rsidR="00773644" w:rsidRDefault="00000000" w:rsidP="00616B9D">
            <w:r>
              <w:t>Excess plug-in components; dealer cancellations</w:t>
            </w:r>
          </w:p>
        </w:tc>
      </w:tr>
      <w:tr w:rsidR="00773644" w14:paraId="1451F907" w14:textId="77777777">
        <w:trPr>
          <w:jc w:val="center"/>
        </w:trPr>
        <w:tc>
          <w:tcPr>
            <w:tcW w:w="1224" w:type="dxa"/>
            <w:tcMar>
              <w:top w:w="70" w:type="dxa"/>
              <w:left w:w="80" w:type="dxa"/>
              <w:bottom w:w="70" w:type="dxa"/>
              <w:right w:w="80" w:type="dxa"/>
            </w:tcMar>
            <w:vAlign w:val="center"/>
          </w:tcPr>
          <w:p w14:paraId="595A9FC6" w14:textId="77777777" w:rsidR="00773644" w:rsidRDefault="00000000" w:rsidP="00616B9D">
            <w:r>
              <w:t>Hybrid pivot</w:t>
            </w:r>
          </w:p>
        </w:tc>
        <w:tc>
          <w:tcPr>
            <w:tcW w:w="2952" w:type="dxa"/>
            <w:tcMar>
              <w:top w:w="70" w:type="dxa"/>
              <w:left w:w="80" w:type="dxa"/>
              <w:bottom w:w="70" w:type="dxa"/>
              <w:right w:w="80" w:type="dxa"/>
            </w:tcMar>
            <w:vAlign w:val="center"/>
          </w:tcPr>
          <w:p w14:paraId="04B055C6" w14:textId="77777777" w:rsidR="00773644" w:rsidRDefault="00000000" w:rsidP="00616B9D">
            <w:r>
              <w:t>Buyers avoid full EVs but seek fuel economy</w:t>
            </w:r>
          </w:p>
        </w:tc>
        <w:tc>
          <w:tcPr>
            <w:tcW w:w="1440" w:type="dxa"/>
            <w:tcMar>
              <w:top w:w="70" w:type="dxa"/>
              <w:left w:w="80" w:type="dxa"/>
              <w:bottom w:w="70" w:type="dxa"/>
              <w:right w:w="80" w:type="dxa"/>
            </w:tcMar>
            <w:vAlign w:val="center"/>
          </w:tcPr>
          <w:p w14:paraId="7BD738D6" w14:textId="77777777" w:rsidR="00773644" w:rsidRDefault="00000000" w:rsidP="00616B9D">
            <w:r>
              <w:t>+15%</w:t>
            </w:r>
          </w:p>
        </w:tc>
        <w:tc>
          <w:tcPr>
            <w:tcW w:w="1440" w:type="dxa"/>
            <w:tcMar>
              <w:top w:w="70" w:type="dxa"/>
              <w:left w:w="80" w:type="dxa"/>
              <w:bottom w:w="70" w:type="dxa"/>
              <w:right w:w="80" w:type="dxa"/>
            </w:tcMar>
            <w:vAlign w:val="center"/>
          </w:tcPr>
          <w:p w14:paraId="0AAC5485" w14:textId="77777777" w:rsidR="00773644" w:rsidRDefault="00000000" w:rsidP="00616B9D">
            <w:r>
              <w:t>+5%</w:t>
            </w:r>
          </w:p>
        </w:tc>
        <w:tc>
          <w:tcPr>
            <w:tcW w:w="3240" w:type="dxa"/>
            <w:tcMar>
              <w:top w:w="70" w:type="dxa"/>
              <w:left w:w="80" w:type="dxa"/>
              <w:bottom w:w="70" w:type="dxa"/>
              <w:right w:w="80" w:type="dxa"/>
            </w:tcMar>
            <w:vAlign w:val="center"/>
          </w:tcPr>
          <w:p w14:paraId="10331FA7" w14:textId="77777777" w:rsidR="00773644" w:rsidRDefault="00000000" w:rsidP="00616B9D">
            <w:r>
              <w:t>Engine, inverter, and battery demand rise together</w:t>
            </w:r>
          </w:p>
        </w:tc>
      </w:tr>
    </w:tbl>
    <w:p w14:paraId="27CB2D3A" w14:textId="77777777" w:rsidR="00773644" w:rsidRDefault="00000000" w:rsidP="00616B9D">
      <w:r>
        <w:t>The current production plan called for 15,900 vehicles over the 16-week horizon. Confirmed component availability supported only 13,750 units without intervention. Purchasing proposed $18.6 million of accelerated orders and premium freight. Manufacturing proposed resequencing production around available parts, accepting lower weekly output but avoiding emergency logistics. Sales wanted Aurora to prioritize dealer orders in high-gasoline-price regions and promise delivery dates immediately. Finance argued that Aurora should not commit scarce components until it better understood cancellations following the tax-credit change.</w:t>
      </w:r>
    </w:p>
    <w:tbl>
      <w:tblPr>
        <w:tblStyle w:val="TableGrid"/>
        <w:tblW w:w="0" w:type="auto"/>
        <w:jc w:val="center"/>
        <w:tblLook w:val="04A0" w:firstRow="1" w:lastRow="0" w:firstColumn="1" w:lastColumn="0" w:noHBand="0" w:noVBand="1"/>
      </w:tblPr>
      <w:tblGrid>
        <w:gridCol w:w="2228"/>
        <w:gridCol w:w="2085"/>
        <w:gridCol w:w="2657"/>
        <w:gridCol w:w="3302"/>
      </w:tblGrid>
      <w:tr w:rsidR="00773644" w14:paraId="54468870" w14:textId="77777777">
        <w:trPr>
          <w:tblHeader/>
          <w:jc w:val="center"/>
        </w:trPr>
        <w:tc>
          <w:tcPr>
            <w:tcW w:w="2232" w:type="dxa"/>
            <w:shd w:val="clear" w:color="auto" w:fill="1F4E5F"/>
            <w:tcMar>
              <w:top w:w="70" w:type="dxa"/>
              <w:left w:w="80" w:type="dxa"/>
              <w:bottom w:w="70" w:type="dxa"/>
              <w:right w:w="80" w:type="dxa"/>
            </w:tcMar>
            <w:vAlign w:val="center"/>
          </w:tcPr>
          <w:p w14:paraId="3892DFF0" w14:textId="77777777" w:rsidR="00773644" w:rsidRDefault="00000000" w:rsidP="00616B9D">
            <w:r>
              <w:t>Proposed response</w:t>
            </w:r>
          </w:p>
        </w:tc>
        <w:tc>
          <w:tcPr>
            <w:tcW w:w="2088" w:type="dxa"/>
            <w:shd w:val="clear" w:color="auto" w:fill="1F4E5F"/>
            <w:tcMar>
              <w:top w:w="70" w:type="dxa"/>
              <w:left w:w="80" w:type="dxa"/>
              <w:bottom w:w="70" w:type="dxa"/>
              <w:right w:w="80" w:type="dxa"/>
            </w:tcMar>
            <w:vAlign w:val="center"/>
          </w:tcPr>
          <w:p w14:paraId="75A5DA2B" w14:textId="77777777" w:rsidR="00773644" w:rsidRDefault="00000000" w:rsidP="00616B9D">
            <w:r>
              <w:t>Immediate cash/cost</w:t>
            </w:r>
          </w:p>
        </w:tc>
        <w:tc>
          <w:tcPr>
            <w:tcW w:w="2664" w:type="dxa"/>
            <w:shd w:val="clear" w:color="auto" w:fill="1F4E5F"/>
            <w:tcMar>
              <w:top w:w="70" w:type="dxa"/>
              <w:left w:w="80" w:type="dxa"/>
              <w:bottom w:w="70" w:type="dxa"/>
              <w:right w:w="80" w:type="dxa"/>
            </w:tcMar>
            <w:vAlign w:val="center"/>
          </w:tcPr>
          <w:p w14:paraId="76AF979B" w14:textId="77777777" w:rsidR="00773644" w:rsidRDefault="00000000" w:rsidP="00616B9D">
            <w:r>
              <w:t>Potential advantage</w:t>
            </w:r>
          </w:p>
        </w:tc>
        <w:tc>
          <w:tcPr>
            <w:tcW w:w="3312" w:type="dxa"/>
            <w:shd w:val="clear" w:color="auto" w:fill="1F4E5F"/>
            <w:tcMar>
              <w:top w:w="70" w:type="dxa"/>
              <w:left w:w="80" w:type="dxa"/>
              <w:bottom w:w="70" w:type="dxa"/>
              <w:right w:w="80" w:type="dxa"/>
            </w:tcMar>
            <w:vAlign w:val="center"/>
          </w:tcPr>
          <w:p w14:paraId="49581C67" w14:textId="77777777" w:rsidR="00773644" w:rsidRDefault="00000000" w:rsidP="00616B9D">
            <w:r>
              <w:t>Principal concern</w:t>
            </w:r>
          </w:p>
        </w:tc>
      </w:tr>
      <w:tr w:rsidR="00773644" w14:paraId="7BD1E327" w14:textId="77777777">
        <w:trPr>
          <w:jc w:val="center"/>
        </w:trPr>
        <w:tc>
          <w:tcPr>
            <w:tcW w:w="2232" w:type="dxa"/>
            <w:tcMar>
              <w:top w:w="70" w:type="dxa"/>
              <w:left w:w="80" w:type="dxa"/>
              <w:bottom w:w="70" w:type="dxa"/>
              <w:right w:w="80" w:type="dxa"/>
            </w:tcMar>
            <w:vAlign w:val="center"/>
          </w:tcPr>
          <w:p w14:paraId="30ED158B" w14:textId="77777777" w:rsidR="00773644" w:rsidRDefault="00000000" w:rsidP="00616B9D">
            <w:r>
              <w:t>Buy and expedite imported components</w:t>
            </w:r>
          </w:p>
        </w:tc>
        <w:tc>
          <w:tcPr>
            <w:tcW w:w="2088" w:type="dxa"/>
            <w:tcMar>
              <w:top w:w="70" w:type="dxa"/>
              <w:left w:w="80" w:type="dxa"/>
              <w:bottom w:w="70" w:type="dxa"/>
              <w:right w:w="80" w:type="dxa"/>
            </w:tcMar>
            <w:vAlign w:val="center"/>
          </w:tcPr>
          <w:p w14:paraId="12603BB5" w14:textId="77777777" w:rsidR="00773644" w:rsidRDefault="00000000" w:rsidP="00616B9D">
            <w:r>
              <w:t>$18.6M commitment; $3.4M premium freight</w:t>
            </w:r>
          </w:p>
        </w:tc>
        <w:tc>
          <w:tcPr>
            <w:tcW w:w="2664" w:type="dxa"/>
            <w:tcMar>
              <w:top w:w="70" w:type="dxa"/>
              <w:left w:w="80" w:type="dxa"/>
              <w:bottom w:w="70" w:type="dxa"/>
              <w:right w:w="80" w:type="dxa"/>
            </w:tcMar>
            <w:vAlign w:val="center"/>
          </w:tcPr>
          <w:p w14:paraId="10DF49CD" w14:textId="77777777" w:rsidR="00773644" w:rsidRDefault="00000000" w:rsidP="00616B9D">
            <w:r>
              <w:t>Protects output and dealer service</w:t>
            </w:r>
          </w:p>
        </w:tc>
        <w:tc>
          <w:tcPr>
            <w:tcW w:w="3312" w:type="dxa"/>
            <w:tcMar>
              <w:top w:w="70" w:type="dxa"/>
              <w:left w:w="80" w:type="dxa"/>
              <w:bottom w:w="70" w:type="dxa"/>
              <w:right w:w="80" w:type="dxa"/>
            </w:tcMar>
            <w:vAlign w:val="center"/>
          </w:tcPr>
          <w:p w14:paraId="611EF60B" w14:textId="77777777" w:rsidR="00773644" w:rsidRDefault="00000000" w:rsidP="00616B9D">
            <w:r>
              <w:t>Tariffs or demand may change before arrival</w:t>
            </w:r>
          </w:p>
        </w:tc>
      </w:tr>
      <w:tr w:rsidR="00773644" w14:paraId="52AC5AAF" w14:textId="77777777">
        <w:trPr>
          <w:jc w:val="center"/>
        </w:trPr>
        <w:tc>
          <w:tcPr>
            <w:tcW w:w="2232" w:type="dxa"/>
            <w:shd w:val="clear" w:color="auto" w:fill="EAF1F3"/>
            <w:tcMar>
              <w:top w:w="70" w:type="dxa"/>
              <w:left w:w="80" w:type="dxa"/>
              <w:bottom w:w="70" w:type="dxa"/>
              <w:right w:w="80" w:type="dxa"/>
            </w:tcMar>
            <w:vAlign w:val="center"/>
          </w:tcPr>
          <w:p w14:paraId="3E04433B" w14:textId="77777777" w:rsidR="00773644" w:rsidRDefault="00000000" w:rsidP="00616B9D">
            <w:r>
              <w:t>Build incomplete vehicles</w:t>
            </w:r>
          </w:p>
        </w:tc>
        <w:tc>
          <w:tcPr>
            <w:tcW w:w="2088" w:type="dxa"/>
            <w:shd w:val="clear" w:color="auto" w:fill="EAF1F3"/>
            <w:tcMar>
              <w:top w:w="70" w:type="dxa"/>
              <w:left w:w="80" w:type="dxa"/>
              <w:bottom w:w="70" w:type="dxa"/>
              <w:right w:w="80" w:type="dxa"/>
            </w:tcMar>
            <w:vAlign w:val="center"/>
          </w:tcPr>
          <w:p w14:paraId="44941636" w14:textId="77777777" w:rsidR="00773644" w:rsidRDefault="00000000" w:rsidP="00616B9D">
            <w:r>
              <w:t>$6.2M temporary working capital</w:t>
            </w:r>
          </w:p>
        </w:tc>
        <w:tc>
          <w:tcPr>
            <w:tcW w:w="2664" w:type="dxa"/>
            <w:shd w:val="clear" w:color="auto" w:fill="EAF1F3"/>
            <w:tcMar>
              <w:top w:w="70" w:type="dxa"/>
              <w:left w:w="80" w:type="dxa"/>
              <w:bottom w:w="70" w:type="dxa"/>
              <w:right w:w="80" w:type="dxa"/>
            </w:tcMar>
            <w:vAlign w:val="center"/>
          </w:tcPr>
          <w:p w14:paraId="0024DF0D" w14:textId="77777777" w:rsidR="00773644" w:rsidRDefault="00000000" w:rsidP="00616B9D">
            <w:r>
              <w:t>Keeps labor and body shop utilized</w:t>
            </w:r>
          </w:p>
        </w:tc>
        <w:tc>
          <w:tcPr>
            <w:tcW w:w="3312" w:type="dxa"/>
            <w:shd w:val="clear" w:color="auto" w:fill="EAF1F3"/>
            <w:tcMar>
              <w:top w:w="70" w:type="dxa"/>
              <w:left w:w="80" w:type="dxa"/>
              <w:bottom w:w="70" w:type="dxa"/>
              <w:right w:w="80" w:type="dxa"/>
            </w:tcMar>
            <w:vAlign w:val="center"/>
          </w:tcPr>
          <w:p w14:paraId="218DA980" w14:textId="77777777" w:rsidR="00773644" w:rsidRDefault="00000000" w:rsidP="00616B9D">
            <w:r>
              <w:t>Rework, storage, and quality risk</w:t>
            </w:r>
          </w:p>
        </w:tc>
      </w:tr>
      <w:tr w:rsidR="00773644" w14:paraId="7C9585B0" w14:textId="77777777">
        <w:trPr>
          <w:jc w:val="center"/>
        </w:trPr>
        <w:tc>
          <w:tcPr>
            <w:tcW w:w="2232" w:type="dxa"/>
            <w:tcMar>
              <w:top w:w="70" w:type="dxa"/>
              <w:left w:w="80" w:type="dxa"/>
              <w:bottom w:w="70" w:type="dxa"/>
              <w:right w:w="80" w:type="dxa"/>
            </w:tcMar>
            <w:vAlign w:val="center"/>
          </w:tcPr>
          <w:p w14:paraId="391FC2DE" w14:textId="77777777" w:rsidR="00773644" w:rsidRDefault="00000000" w:rsidP="00616B9D">
            <w:r>
              <w:t>Reallocate components by margin/region</w:t>
            </w:r>
          </w:p>
        </w:tc>
        <w:tc>
          <w:tcPr>
            <w:tcW w:w="2088" w:type="dxa"/>
            <w:tcMar>
              <w:top w:w="70" w:type="dxa"/>
              <w:left w:w="80" w:type="dxa"/>
              <w:bottom w:w="70" w:type="dxa"/>
              <w:right w:w="80" w:type="dxa"/>
            </w:tcMar>
            <w:vAlign w:val="center"/>
          </w:tcPr>
          <w:p w14:paraId="12838994" w14:textId="77777777" w:rsidR="00773644" w:rsidRDefault="00000000" w:rsidP="00616B9D">
            <w:r>
              <w:t>Low direct cost</w:t>
            </w:r>
          </w:p>
        </w:tc>
        <w:tc>
          <w:tcPr>
            <w:tcW w:w="2664" w:type="dxa"/>
            <w:tcMar>
              <w:top w:w="70" w:type="dxa"/>
              <w:left w:w="80" w:type="dxa"/>
              <w:bottom w:w="70" w:type="dxa"/>
              <w:right w:w="80" w:type="dxa"/>
            </w:tcMar>
            <w:vAlign w:val="center"/>
          </w:tcPr>
          <w:p w14:paraId="5B41BED1" w14:textId="77777777" w:rsidR="00773644" w:rsidRDefault="00000000" w:rsidP="00616B9D">
            <w:r>
              <w:t>Matches scarce supply to current value</w:t>
            </w:r>
          </w:p>
        </w:tc>
        <w:tc>
          <w:tcPr>
            <w:tcW w:w="3312" w:type="dxa"/>
            <w:tcMar>
              <w:top w:w="70" w:type="dxa"/>
              <w:left w:w="80" w:type="dxa"/>
              <w:bottom w:w="70" w:type="dxa"/>
              <w:right w:w="80" w:type="dxa"/>
            </w:tcMar>
            <w:vAlign w:val="center"/>
          </w:tcPr>
          <w:p w14:paraId="04423FC8" w14:textId="77777777" w:rsidR="00773644" w:rsidRDefault="00000000" w:rsidP="00616B9D">
            <w:r>
              <w:t>Dealer fairness and forecast error</w:t>
            </w:r>
          </w:p>
        </w:tc>
      </w:tr>
      <w:tr w:rsidR="00773644" w14:paraId="51B58145" w14:textId="77777777">
        <w:trPr>
          <w:jc w:val="center"/>
        </w:trPr>
        <w:tc>
          <w:tcPr>
            <w:tcW w:w="2232" w:type="dxa"/>
            <w:shd w:val="clear" w:color="auto" w:fill="EAF1F3"/>
            <w:tcMar>
              <w:top w:w="70" w:type="dxa"/>
              <w:left w:w="80" w:type="dxa"/>
              <w:bottom w:w="70" w:type="dxa"/>
              <w:right w:w="80" w:type="dxa"/>
            </w:tcMar>
            <w:vAlign w:val="center"/>
          </w:tcPr>
          <w:p w14:paraId="0F36AD52" w14:textId="77777777" w:rsidR="00773644" w:rsidRDefault="00000000" w:rsidP="00616B9D">
            <w:r>
              <w:t>Reduce the production plan</w:t>
            </w:r>
          </w:p>
        </w:tc>
        <w:tc>
          <w:tcPr>
            <w:tcW w:w="2088" w:type="dxa"/>
            <w:shd w:val="clear" w:color="auto" w:fill="EAF1F3"/>
            <w:tcMar>
              <w:top w:w="70" w:type="dxa"/>
              <w:left w:w="80" w:type="dxa"/>
              <w:bottom w:w="70" w:type="dxa"/>
              <w:right w:w="80" w:type="dxa"/>
            </w:tcMar>
            <w:vAlign w:val="center"/>
          </w:tcPr>
          <w:p w14:paraId="3FA3EA59" w14:textId="77777777" w:rsidR="00773644" w:rsidRDefault="00000000" w:rsidP="00616B9D">
            <w:r>
              <w:t>Foregone contribution margin</w:t>
            </w:r>
          </w:p>
        </w:tc>
        <w:tc>
          <w:tcPr>
            <w:tcW w:w="2664" w:type="dxa"/>
            <w:shd w:val="clear" w:color="auto" w:fill="EAF1F3"/>
            <w:tcMar>
              <w:top w:w="70" w:type="dxa"/>
              <w:left w:w="80" w:type="dxa"/>
              <w:bottom w:w="70" w:type="dxa"/>
              <w:right w:w="80" w:type="dxa"/>
            </w:tcMar>
            <w:vAlign w:val="center"/>
          </w:tcPr>
          <w:p w14:paraId="0E621DB8" w14:textId="77777777" w:rsidR="00773644" w:rsidRDefault="00000000" w:rsidP="00616B9D">
            <w:r>
              <w:t>Limits inventory and tariff exposure</w:t>
            </w:r>
          </w:p>
        </w:tc>
        <w:tc>
          <w:tcPr>
            <w:tcW w:w="3312" w:type="dxa"/>
            <w:shd w:val="clear" w:color="auto" w:fill="EAF1F3"/>
            <w:tcMar>
              <w:top w:w="70" w:type="dxa"/>
              <w:left w:w="80" w:type="dxa"/>
              <w:bottom w:w="70" w:type="dxa"/>
              <w:right w:w="80" w:type="dxa"/>
            </w:tcMar>
            <w:vAlign w:val="center"/>
          </w:tcPr>
          <w:p w14:paraId="651AD6F6" w14:textId="77777777" w:rsidR="00773644" w:rsidRDefault="00000000" w:rsidP="00616B9D">
            <w:r>
              <w:t>Long customer waits; supplier disruption</w:t>
            </w:r>
          </w:p>
        </w:tc>
      </w:tr>
      <w:tr w:rsidR="00773644" w14:paraId="6BC27701" w14:textId="77777777">
        <w:trPr>
          <w:jc w:val="center"/>
        </w:trPr>
        <w:tc>
          <w:tcPr>
            <w:tcW w:w="2232" w:type="dxa"/>
            <w:tcMar>
              <w:top w:w="70" w:type="dxa"/>
              <w:left w:w="80" w:type="dxa"/>
              <w:bottom w:w="70" w:type="dxa"/>
              <w:right w:w="80" w:type="dxa"/>
            </w:tcMar>
            <w:vAlign w:val="center"/>
          </w:tcPr>
          <w:p w14:paraId="3B2D0F1B" w14:textId="77777777" w:rsidR="00773644" w:rsidRDefault="00000000" w:rsidP="00616B9D">
            <w:r>
              <w:t>Dual-source and redesign</w:t>
            </w:r>
          </w:p>
        </w:tc>
        <w:tc>
          <w:tcPr>
            <w:tcW w:w="2088" w:type="dxa"/>
            <w:tcMar>
              <w:top w:w="70" w:type="dxa"/>
              <w:left w:w="80" w:type="dxa"/>
              <w:bottom w:w="70" w:type="dxa"/>
              <w:right w:w="80" w:type="dxa"/>
            </w:tcMar>
            <w:vAlign w:val="center"/>
          </w:tcPr>
          <w:p w14:paraId="4AA94CE2" w14:textId="77777777" w:rsidR="00773644" w:rsidRDefault="00000000" w:rsidP="00616B9D">
            <w:r>
              <w:t>Up to $42M over 18 months</w:t>
            </w:r>
          </w:p>
        </w:tc>
        <w:tc>
          <w:tcPr>
            <w:tcW w:w="2664" w:type="dxa"/>
            <w:tcMar>
              <w:top w:w="70" w:type="dxa"/>
              <w:left w:w="80" w:type="dxa"/>
              <w:bottom w:w="70" w:type="dxa"/>
              <w:right w:w="80" w:type="dxa"/>
            </w:tcMar>
            <w:vAlign w:val="center"/>
          </w:tcPr>
          <w:p w14:paraId="5BF75E48" w14:textId="77777777" w:rsidR="00773644" w:rsidRDefault="00000000" w:rsidP="00616B9D">
            <w:r>
              <w:t>Long-run resilience and local content</w:t>
            </w:r>
          </w:p>
        </w:tc>
        <w:tc>
          <w:tcPr>
            <w:tcW w:w="3312" w:type="dxa"/>
            <w:tcMar>
              <w:top w:w="70" w:type="dxa"/>
              <w:left w:w="80" w:type="dxa"/>
              <w:bottom w:w="70" w:type="dxa"/>
              <w:right w:w="80" w:type="dxa"/>
            </w:tcMar>
            <w:vAlign w:val="center"/>
          </w:tcPr>
          <w:p w14:paraId="3BE8C460" w14:textId="77777777" w:rsidR="00773644" w:rsidRDefault="00000000" w:rsidP="00616B9D">
            <w:r>
              <w:t>Too slow for current backlog</w:t>
            </w:r>
          </w:p>
        </w:tc>
      </w:tr>
    </w:tbl>
    <w:p w14:paraId="1E5C634B" w14:textId="77777777" w:rsidR="00773644" w:rsidRDefault="00000000" w:rsidP="00616B9D">
      <w:pPr>
        <w:pStyle w:val="Heading1"/>
      </w:pPr>
      <w:r>
        <w:t>A Coordination Problem, Not Four Separate Forecasts</w:t>
      </w:r>
    </w:p>
    <w:p w14:paraId="5959E686" w14:textId="77777777" w:rsidR="00773644" w:rsidRDefault="00000000" w:rsidP="00616B9D">
      <w:r>
        <w:t>Chen believed Aurora’s departments were optimizing different versions of the problem. Purchasing measured part availability and purchase-price variance. Manufacturing measured line utilization and vehicles completed. Logistics measured premium freight and delivery performance. Sales measured orders and dealer fill rates. Finance measured cash, margin, and inventory. None owned the combined decision from component commitment through customer delivery.</w:t>
      </w:r>
    </w:p>
    <w:p w14:paraId="68ED77F2" w14:textId="77777777" w:rsidR="00773644" w:rsidRDefault="00000000" w:rsidP="00616B9D">
      <w:r>
        <w:t xml:space="preserve">Several managers proposed a weekly “control tower” meeting. Others argued that a meeting would not solve the underlying issue: Aurora needed a decision model that jointly represented inbound lead times, tariffs, </w:t>
      </w:r>
      <w:r>
        <w:lastRenderedPageBreak/>
        <w:t>production constraints, uncertain cancellations, regional demand, and outbound capacity. The information needed for such a model was incomplete. Supplier lead times were quoted as single numbers even when their distributions were highly skewed. Dealer orders could be cancelled without penalty. Tariff classifications were sometimes disputed after entry. Gasoline-price forecasts provided no dependable warning of geopolitical shocks.</w:t>
      </w:r>
    </w:p>
    <w:p w14:paraId="791F73E0" w14:textId="77777777" w:rsidR="00773644" w:rsidRDefault="00000000" w:rsidP="00616B9D">
      <w:pPr>
        <w:pStyle w:val="Heading1"/>
      </w:pPr>
      <w:r>
        <w:t>The Meeting</w:t>
      </w:r>
    </w:p>
    <w:p w14:paraId="46AD46F8" w14:textId="77777777" w:rsidR="00773644" w:rsidRDefault="00000000" w:rsidP="00616B9D">
      <w:r>
        <w:t>At 4:00 p.m., Chen wrote five numbers on the board: 3,800 customer orders; 2.6 weeks of control modules; $18.6 million in proposed commitments; 16 weeks of uncertain demand; and an eight-week delivery promise. The chief executive wanted a recommendation by Friday. He did not ask for a forecast. He asked what Aurora should do now, what information it should collect next, and which commitments should remain reversible.</w:t>
      </w:r>
    </w:p>
    <w:p w14:paraId="008875D5" w14:textId="77777777" w:rsidR="00773644" w:rsidRDefault="00000000" w:rsidP="00616B9D">
      <w:r>
        <w:t>Chen saw no clean separation between supply and demand. Ordering more battery cells could protect deliveries in a fuel-price spike, but could also create stranded inventory if tariffs increased or plug-in demand weakened. Cutting production could conserve cash, but might surrender the market just as buyers shifted toward hybrids. Allocating scarce vehicles to the highest-margin regions might improve short-term profit while damaging dealer relationships elsewhere. Redesigning the supply chain could reduce future exposure, but would not fill the orders already in the system.</w:t>
      </w:r>
    </w:p>
    <w:p w14:paraId="0E1D28C6" w14:textId="77777777" w:rsidR="00773644" w:rsidRDefault="00000000" w:rsidP="00616B9D">
      <w:r>
        <w:t>The executive team would have to choose an operating posture before it knew which version of the market it faced.</w:t>
      </w:r>
    </w:p>
    <w:p w14:paraId="49C23B31" w14:textId="77777777" w:rsidR="004A4F99" w:rsidRDefault="004A4F99" w:rsidP="004A4F99">
      <w:pPr>
        <w:pStyle w:val="Heading1"/>
      </w:pPr>
      <w:r>
        <w:t>Framing questions</w:t>
      </w:r>
    </w:p>
    <w:p w14:paraId="3B659F24" w14:textId="77777777" w:rsidR="004A4F99" w:rsidRDefault="004A4F99" w:rsidP="004A4F99">
      <w:pPr>
        <w:pStyle w:val="ListParagraph"/>
        <w:numPr>
          <w:ilvl w:val="0"/>
          <w:numId w:val="11"/>
        </w:numPr>
        <w:spacing w:line="247" w:lineRule="auto"/>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449707D6" w14:textId="77777777" w:rsidR="004A4F99" w:rsidRDefault="004A4F99" w:rsidP="004A4F99">
      <w:pPr>
        <w:pStyle w:val="ListParagraph"/>
        <w:numPr>
          <w:ilvl w:val="0"/>
          <w:numId w:val="11"/>
        </w:numPr>
        <w:spacing w:line="247" w:lineRule="auto"/>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71147BD3" w14:textId="77777777" w:rsidR="004A4F99" w:rsidRDefault="004A4F99" w:rsidP="004A4F99">
      <w:pPr>
        <w:pStyle w:val="ListParagraph"/>
        <w:numPr>
          <w:ilvl w:val="0"/>
          <w:numId w:val="11"/>
        </w:numPr>
        <w:spacing w:line="247" w:lineRule="auto"/>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39DF3AC0" w14:textId="77777777" w:rsidR="004A4F99" w:rsidRDefault="004A4F99" w:rsidP="004A4F99">
      <w:pPr>
        <w:pStyle w:val="ListParagraph"/>
        <w:numPr>
          <w:ilvl w:val="0"/>
          <w:numId w:val="11"/>
        </w:numPr>
        <w:spacing w:line="247" w:lineRule="auto"/>
      </w:pPr>
      <w:r>
        <w:t xml:space="preserve">What are the different sources of uncertainty?  Use the </w:t>
      </w:r>
      <w:hyperlink r:id="rId11" w:anchor="categories" w:history="1">
        <w:r w:rsidRPr="00B20FB6">
          <w:rPr>
            <w:rStyle w:val="Hyperlink"/>
          </w:rPr>
          <w:t>12 categories of uncertainty here as a guide</w:t>
        </w:r>
      </w:hyperlink>
      <w:r>
        <w:t>.</w:t>
      </w:r>
    </w:p>
    <w:p w14:paraId="43DD9D35" w14:textId="77777777" w:rsidR="004A4F99" w:rsidRDefault="004A4F99" w:rsidP="004A4F99">
      <w:pPr>
        <w:pStyle w:val="ListParagraph"/>
        <w:numPr>
          <w:ilvl w:val="0"/>
          <w:numId w:val="11"/>
        </w:numPr>
        <w:spacing w:line="247" w:lineRule="auto"/>
      </w:pPr>
      <w:r>
        <w:t>Repeat the exercise in (3), but this time using uncertainties instead of decisions.</w:t>
      </w:r>
    </w:p>
    <w:p w14:paraId="27E4E2B5" w14:textId="77777777" w:rsidR="004A4F99" w:rsidRDefault="004A4F99" w:rsidP="004A4F99">
      <w:pPr>
        <w:pStyle w:val="ListParagraph"/>
        <w:numPr>
          <w:ilvl w:val="1"/>
          <w:numId w:val="11"/>
        </w:numPr>
        <w:spacing w:line="247" w:lineRule="auto"/>
      </w:pPr>
      <w:r>
        <w:t>Which sources of uncertainty would be captured using average performance over time?</w:t>
      </w:r>
    </w:p>
    <w:p w14:paraId="12D9F52D" w14:textId="77777777" w:rsidR="004A4F99" w:rsidRDefault="004A4F99" w:rsidP="004A4F99">
      <w:pPr>
        <w:pStyle w:val="ListParagraph"/>
        <w:numPr>
          <w:ilvl w:val="1"/>
          <w:numId w:val="11"/>
        </w:numPr>
        <w:spacing w:line="247" w:lineRule="auto"/>
      </w:pPr>
      <w:r>
        <w:t>Which sources of uncertainty represent forms of risk that are not properly captured using averages?</w:t>
      </w:r>
    </w:p>
    <w:p w14:paraId="4E9F7465" w14:textId="77777777" w:rsidR="004A4F99" w:rsidRDefault="004A4F99" w:rsidP="004A4F99">
      <w:pPr>
        <w:pStyle w:val="ListParagraph"/>
        <w:numPr>
          <w:ilvl w:val="0"/>
          <w:numId w:val="11"/>
        </w:numPr>
        <w:spacing w:line="247" w:lineRule="auto"/>
      </w:pPr>
      <w:r>
        <w:t xml:space="preserve">Choose the single decision that seems to have the highest impact on the most important metric.  </w:t>
      </w:r>
    </w:p>
    <w:p w14:paraId="5641379B" w14:textId="77777777" w:rsidR="004A4F99" w:rsidRDefault="004A4F99" w:rsidP="004A4F99">
      <w:pPr>
        <w:pStyle w:val="ListParagraph"/>
        <w:numPr>
          <w:ilvl w:val="1"/>
          <w:numId w:val="11"/>
        </w:numPr>
        <w:spacing w:line="247" w:lineRule="auto"/>
      </w:pPr>
      <w:r>
        <w:t>What approach do you think you would use to make this decision?</w:t>
      </w:r>
    </w:p>
    <w:p w14:paraId="1EFF2B40" w14:textId="77777777" w:rsidR="004A4F99" w:rsidRDefault="004A4F99" w:rsidP="004A4F99">
      <w:pPr>
        <w:pStyle w:val="ListParagraph"/>
        <w:numPr>
          <w:ilvl w:val="1"/>
          <w:numId w:val="11"/>
        </w:numPr>
        <w:spacing w:line="247" w:lineRule="auto"/>
      </w:pPr>
      <w:r>
        <w:t>What data appears to be necessary to make this decision, including the calculation of any performance metrics where the decision would have a high or medium impact.</w:t>
      </w:r>
    </w:p>
    <w:p w14:paraId="3E2AE5FB" w14:textId="77777777" w:rsidR="004A4F99" w:rsidRDefault="004A4F99" w:rsidP="004A4F99">
      <w:pPr>
        <w:pStyle w:val="ListParagraph"/>
        <w:numPr>
          <w:ilvl w:val="0"/>
          <w:numId w:val="11"/>
        </w:numPr>
        <w:spacing w:line="247" w:lineRule="auto"/>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0FB1F6D8" w14:textId="77777777" w:rsidR="00773644" w:rsidRDefault="00000000" w:rsidP="00616B9D">
      <w:pPr>
        <w:pStyle w:val="Heading1"/>
      </w:pPr>
      <w:r>
        <w:t>Discussion Questions</w:t>
      </w:r>
    </w:p>
    <w:p w14:paraId="39578350" w14:textId="49E535F7" w:rsidR="00773644" w:rsidRDefault="00000000" w:rsidP="004A4F99">
      <w:pPr>
        <w:pStyle w:val="ListParagraph"/>
        <w:numPr>
          <w:ilvl w:val="0"/>
          <w:numId w:val="13"/>
        </w:numPr>
      </w:pPr>
      <w:r>
        <w:t>What are the key performance metrics in this case? Which metrics conflict with one another?</w:t>
      </w:r>
    </w:p>
    <w:p w14:paraId="6D557727" w14:textId="688B3153" w:rsidR="00773644" w:rsidRDefault="00000000" w:rsidP="004A4F99">
      <w:pPr>
        <w:pStyle w:val="ListParagraph"/>
        <w:numPr>
          <w:ilvl w:val="0"/>
          <w:numId w:val="13"/>
        </w:numPr>
      </w:pPr>
      <w:r>
        <w:t>What decisions must Aurora make now, and which decisions can be delayed until more information arrives?</w:t>
      </w:r>
    </w:p>
    <w:p w14:paraId="02C908A9" w14:textId="5E99F93C" w:rsidR="00773644" w:rsidRDefault="00000000" w:rsidP="004A4F99">
      <w:pPr>
        <w:pStyle w:val="ListParagraph"/>
        <w:numPr>
          <w:ilvl w:val="0"/>
          <w:numId w:val="13"/>
        </w:numPr>
      </w:pPr>
      <w:r>
        <w:t>How should Aurora connect inbound purchasing, production sequencing, inventory positioning, dealer allocation, and customer delivery promises?</w:t>
      </w:r>
    </w:p>
    <w:p w14:paraId="755DE7AD" w14:textId="3456A5D5" w:rsidR="00773644" w:rsidRDefault="00000000" w:rsidP="004A4F99">
      <w:pPr>
        <w:pStyle w:val="ListParagraph"/>
        <w:numPr>
          <w:ilvl w:val="0"/>
          <w:numId w:val="13"/>
        </w:numPr>
      </w:pPr>
      <w:r>
        <w:lastRenderedPageBreak/>
        <w:t>Which uncertainties are exogenous, and which can Aurora influence through contracts, product design, information collection, or customer policies?</w:t>
      </w:r>
    </w:p>
    <w:p w14:paraId="2E8DBF1A" w14:textId="261F2A51" w:rsidR="00773644" w:rsidRDefault="00000000" w:rsidP="004A4F99">
      <w:pPr>
        <w:pStyle w:val="ListParagraph"/>
        <w:numPr>
          <w:ilvl w:val="0"/>
          <w:numId w:val="13"/>
        </w:numPr>
      </w:pPr>
      <w:r>
        <w:t xml:space="preserve">What data would be most valuable before Friday? What information would be useful but </w:t>
      </w:r>
      <w:proofErr w:type="gramStart"/>
      <w:r>
        <w:t>arrive</w:t>
      </w:r>
      <w:proofErr w:type="gramEnd"/>
      <w:r>
        <w:t xml:space="preserve"> too late?</w:t>
      </w:r>
    </w:p>
    <w:p w14:paraId="0EE91E8B" w14:textId="78745CEE" w:rsidR="00773644" w:rsidRDefault="00000000" w:rsidP="004A4F99">
      <w:pPr>
        <w:pStyle w:val="ListParagraph"/>
        <w:numPr>
          <w:ilvl w:val="0"/>
          <w:numId w:val="13"/>
        </w:numPr>
      </w:pPr>
      <w:r>
        <w:t>How should Aurora evaluate the five proposed responses when none dominates across all scenarios?</w:t>
      </w:r>
    </w:p>
    <w:p w14:paraId="204562A9" w14:textId="61D7A13F" w:rsidR="00773644" w:rsidRDefault="00000000" w:rsidP="004A4F99">
      <w:pPr>
        <w:pStyle w:val="ListParagraph"/>
        <w:numPr>
          <w:ilvl w:val="0"/>
          <w:numId w:val="13"/>
        </w:numPr>
      </w:pPr>
      <w:r>
        <w:t>What organizational changes might be required even if Aurora develops a sophisticated planning model?</w:t>
      </w:r>
    </w:p>
    <w:p w14:paraId="20E6AEA9" w14:textId="77777777" w:rsidR="00773644" w:rsidRDefault="00000000" w:rsidP="00616B9D">
      <w:pPr>
        <w:pStyle w:val="Heading1"/>
      </w:pPr>
      <w:r>
        <w:t>Source Notes for Historical Context</w:t>
      </w:r>
    </w:p>
    <w:p w14:paraId="4CC744E3" w14:textId="77777777" w:rsidR="00773644" w:rsidRDefault="00000000" w:rsidP="00616B9D">
      <w:r>
        <w:t>U.S. Energy Information Administration, “Cushing, OK WTI Spot Price FOB,” annual series (accessed July 2026).</w:t>
      </w:r>
    </w:p>
    <w:p w14:paraId="13AA9AD9" w14:textId="77777777" w:rsidR="00773644" w:rsidRDefault="00000000" w:rsidP="00616B9D">
      <w:r>
        <w:t>U.S. Department of Energy, Vehicle Technologies Office, “Electric Vehicle Battery Pack Costs for a Light-Duty Vehicle in 2023 Are 90% Lower than in 2008,” August 5, 2024.</w:t>
      </w:r>
    </w:p>
    <w:p w14:paraId="13033D45" w14:textId="77777777" w:rsidR="00773644" w:rsidRDefault="00000000" w:rsidP="00616B9D">
      <w:r>
        <w:t>Office of the U.S. Trade Representative, Section 301 tariff modifications, May and September 2024.</w:t>
      </w:r>
    </w:p>
    <w:p w14:paraId="7E5229A6" w14:textId="77777777" w:rsidR="00773644" w:rsidRDefault="00000000" w:rsidP="00616B9D">
      <w:r>
        <w:t>White House, Proclamation 10908 and amendments concerning automobile and automobile-parts imports, March-April 2025; U.S.-EU trade framework statements, July-August 2025.</w:t>
      </w:r>
    </w:p>
    <w:p w14:paraId="3114BE3D" w14:textId="77777777" w:rsidR="00773644" w:rsidRDefault="00000000" w:rsidP="00616B9D">
      <w:r>
        <w:t>Internal Revenue Service, “Credits for New Clean Vehicles Purchased in 2023 or After” and 2025 Form 8936 instructions.</w:t>
      </w:r>
    </w:p>
    <w:p w14:paraId="03D30A99" w14:textId="77777777" w:rsidR="00773644" w:rsidRDefault="00000000" w:rsidP="00616B9D">
      <w:r>
        <w:t>AAA, annual electric-vehicle consumer surveys, 2024 and 2025.</w:t>
      </w:r>
    </w:p>
    <w:p w14:paraId="524A3A4A" w14:textId="77777777" w:rsidR="00773644" w:rsidRDefault="00000000" w:rsidP="00616B9D">
      <w:r>
        <w:rPr>
          <w:b/>
        </w:rPr>
        <w:t xml:space="preserve">Case note: </w:t>
      </w:r>
      <w:r>
        <w:t>Aurora Motors, its employees, products, suppliers, dealers, orders, costs, forecasts, and operating data are fictional. Historical figures are included solely to establish a realistic decision environment. The case intentionally does not prescribe a solution.</w:t>
      </w:r>
    </w:p>
    <w:p w14:paraId="3A811255" w14:textId="77777777" w:rsidR="00B30DFE" w:rsidRDefault="00B30DFE" w:rsidP="00616B9D"/>
    <w:p w14:paraId="590D42FF" w14:textId="77777777" w:rsidR="00B30DFE" w:rsidRDefault="00B30DFE" w:rsidP="00616B9D">
      <w:pPr>
        <w:rPr>
          <w:rFonts w:asciiTheme="majorHAnsi" w:eastAsiaTheme="majorEastAsia" w:hAnsiTheme="majorHAnsi" w:cstheme="majorBidi"/>
          <w:color w:val="17365D"/>
          <w:sz w:val="28"/>
          <w:szCs w:val="28"/>
        </w:rPr>
      </w:pPr>
      <w:r>
        <w:br w:type="page"/>
      </w:r>
    </w:p>
    <w:p w14:paraId="64034AEC" w14:textId="0F5C0A8B" w:rsidR="00B30DFE" w:rsidRDefault="00B30DFE" w:rsidP="00616B9D">
      <w:pPr>
        <w:pStyle w:val="Heading1"/>
      </w:pPr>
      <w:r>
        <w:lastRenderedPageBreak/>
        <w:t>ChatGPT notes</w:t>
      </w:r>
    </w:p>
    <w:p w14:paraId="45D8CD27" w14:textId="4D10FA22" w:rsidR="00616B9D" w:rsidRDefault="00616B9D" w:rsidP="00616B9D">
      <w:pPr>
        <w:pStyle w:val="Heading2"/>
      </w:pPr>
      <w:r>
        <w:t>Prompt</w:t>
      </w:r>
    </w:p>
    <w:p w14:paraId="29EFEE8C" w14:textId="4F2B9E01" w:rsidR="00616B9D" w:rsidRDefault="00616B9D" w:rsidP="00616B9D">
      <w:r w:rsidRPr="00616B9D">
        <w:t xml:space="preserve">generate a case study around the theme of a manufacturing company that is trying to coordinate inbound flows to the manufacturing process with customer deliveries. The product is hybrid electric vehicles that are subject to tariffs on parts from Asia and Europe, as well as changes in policies on tax discounts that are sometimes available from the federal government, but which may be withdrawn. Another factor is changing gasoline </w:t>
      </w:r>
      <w:proofErr w:type="gramStart"/>
      <w:r w:rsidRPr="00616B9D">
        <w:t>prices</w:t>
      </w:r>
      <w:proofErr w:type="gramEnd"/>
      <w:r w:rsidRPr="00616B9D">
        <w:t xml:space="preserve"> which are also subject to international problems, such as sporadic shortages </w:t>
      </w:r>
      <w:proofErr w:type="gramStart"/>
      <w:r w:rsidRPr="00616B9D">
        <w:t>as a result of</w:t>
      </w:r>
      <w:proofErr w:type="gramEnd"/>
      <w:r w:rsidRPr="00616B9D">
        <w:t xml:space="preserve"> wars with producing nations. Try to include some historical data on oil prices, the cost of batteries, and tariffs as well as shifting customer attitudes.</w:t>
      </w:r>
    </w:p>
    <w:p w14:paraId="55807245" w14:textId="6D89CB88" w:rsidR="00616B9D" w:rsidRPr="00616B9D" w:rsidRDefault="00616B9D" w:rsidP="00616B9D">
      <w:pPr>
        <w:pStyle w:val="Heading2"/>
      </w:pPr>
      <w:r>
        <w:t>Summary</w:t>
      </w:r>
    </w:p>
    <w:p w14:paraId="01CC4A03" w14:textId="7E19FBAB" w:rsidR="00B30DFE" w:rsidRPr="00B30DFE" w:rsidRDefault="00B30DFE" w:rsidP="00616B9D">
      <w:r w:rsidRPr="00B30DFE">
        <w:t>The case examines how a fictional hybrid-vehicle manufacturer should coordinate imported components, production sequencing, inventory, dealer allocation, and customer delivery promises amid:</w:t>
      </w:r>
    </w:p>
    <w:p w14:paraId="1540166F" w14:textId="77777777" w:rsidR="00B30DFE" w:rsidRPr="00B30DFE" w:rsidRDefault="00B30DFE" w:rsidP="00616B9D">
      <w:pPr>
        <w:pStyle w:val="ListParagraph"/>
        <w:numPr>
          <w:ilvl w:val="0"/>
          <w:numId w:val="10"/>
        </w:numPr>
      </w:pPr>
      <w:r w:rsidRPr="00B30DFE">
        <w:t xml:space="preserve">Tariffs on Asian batteries and electronic components and European automotive parts </w:t>
      </w:r>
    </w:p>
    <w:p w14:paraId="56A9536B" w14:textId="77777777" w:rsidR="00B30DFE" w:rsidRPr="00B30DFE" w:rsidRDefault="00B30DFE" w:rsidP="00616B9D">
      <w:pPr>
        <w:pStyle w:val="ListParagraph"/>
        <w:numPr>
          <w:ilvl w:val="0"/>
          <w:numId w:val="10"/>
        </w:numPr>
      </w:pPr>
      <w:r w:rsidRPr="00B30DFE">
        <w:t xml:space="preserve">Changing federal clean-vehicle tax incentives </w:t>
      </w:r>
    </w:p>
    <w:p w14:paraId="38F223CE" w14:textId="77777777" w:rsidR="00B30DFE" w:rsidRPr="00B30DFE" w:rsidRDefault="00B30DFE" w:rsidP="00616B9D">
      <w:pPr>
        <w:pStyle w:val="ListParagraph"/>
        <w:numPr>
          <w:ilvl w:val="0"/>
          <w:numId w:val="10"/>
        </w:numPr>
      </w:pPr>
      <w:r w:rsidRPr="00B30DFE">
        <w:t xml:space="preserve">Oil and gasoline-price volatility caused by geopolitical disruptions </w:t>
      </w:r>
    </w:p>
    <w:p w14:paraId="3C5467BC" w14:textId="77777777" w:rsidR="00B30DFE" w:rsidRPr="00B30DFE" w:rsidRDefault="00B30DFE" w:rsidP="00616B9D">
      <w:pPr>
        <w:pStyle w:val="ListParagraph"/>
        <w:numPr>
          <w:ilvl w:val="0"/>
          <w:numId w:val="10"/>
        </w:numPr>
      </w:pPr>
      <w:r w:rsidRPr="00B30DFE">
        <w:t xml:space="preserve">Falling battery costs </w:t>
      </w:r>
    </w:p>
    <w:p w14:paraId="0D1C5F3B" w14:textId="77777777" w:rsidR="00B30DFE" w:rsidRPr="00B30DFE" w:rsidRDefault="00B30DFE" w:rsidP="00616B9D">
      <w:pPr>
        <w:pStyle w:val="ListParagraph"/>
        <w:numPr>
          <w:ilvl w:val="0"/>
          <w:numId w:val="10"/>
        </w:numPr>
      </w:pPr>
      <w:r w:rsidRPr="00B30DFE">
        <w:t xml:space="preserve">Shifting consumer interest among gasoline, hybrid, plug-in hybrid, and fully electric vehicles </w:t>
      </w:r>
    </w:p>
    <w:p w14:paraId="147E1C4C" w14:textId="77777777" w:rsidR="00B30DFE" w:rsidRPr="00B30DFE" w:rsidRDefault="00B30DFE" w:rsidP="00616B9D">
      <w:pPr>
        <w:pStyle w:val="ListParagraph"/>
        <w:numPr>
          <w:ilvl w:val="0"/>
          <w:numId w:val="10"/>
        </w:numPr>
      </w:pPr>
      <w:r w:rsidRPr="00B30DFE">
        <w:t xml:space="preserve">Long inbound lead times and uncertain customer cancellations </w:t>
      </w:r>
    </w:p>
    <w:p w14:paraId="45105C7C" w14:textId="77777777" w:rsidR="00B30DFE" w:rsidRPr="00B30DFE" w:rsidRDefault="00B30DFE" w:rsidP="00616B9D">
      <w:r w:rsidRPr="00B30DFE">
        <w:t xml:space="preserve">It includes historical oil-price and battery-cost data, tariff and incentive history, alternative demand scenarios, operational response options, quantitative exhibits, and discussion questions. No preferred solution is identified. Historical context is based on EIA, Department of Energy, USTR, IRS, White House, and AAA sources. </w:t>
      </w:r>
    </w:p>
    <w:p w14:paraId="215AFD55" w14:textId="77777777" w:rsidR="00B30DFE" w:rsidRPr="00B30DFE" w:rsidRDefault="00B30DFE" w:rsidP="00616B9D"/>
    <w:sectPr w:rsidR="00B30DFE" w:rsidRPr="00B30DFE" w:rsidSect="00034616">
      <w:headerReference w:type="even" r:id="rId12"/>
      <w:headerReference w:type="default" r:id="rId13"/>
      <w:footerReference w:type="even" r:id="rId14"/>
      <w:footerReference w:type="default" r:id="rId15"/>
      <w:headerReference w:type="first" r:id="rId16"/>
      <w:footerReference w:type="first" r:id="rId17"/>
      <w:pgSz w:w="12240" w:h="15840"/>
      <w:pgMar w:top="835" w:right="979" w:bottom="792" w:left="979"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D9E07" w14:textId="77777777" w:rsidR="001A1C32" w:rsidRDefault="001A1C32" w:rsidP="00616B9D">
      <w:r>
        <w:separator/>
      </w:r>
    </w:p>
  </w:endnote>
  <w:endnote w:type="continuationSeparator" w:id="0">
    <w:p w14:paraId="1060C443" w14:textId="77777777" w:rsidR="001A1C32" w:rsidRDefault="001A1C32" w:rsidP="00616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A2FB7" w14:textId="77777777" w:rsidR="001A27F3" w:rsidRDefault="001A2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B4F4B" w14:textId="77777777" w:rsidR="00773644" w:rsidRDefault="00000000" w:rsidP="00616B9D">
    <w:pPr>
      <w:pStyle w:val="Footer"/>
    </w:pPr>
    <w:r>
      <w:fldChar w:fldCharType="begin"/>
    </w:r>
    <w:r>
      <w:instrText xml:space="preserve"> PAGE </w:instrText>
    </w:r>
    <w:r>
      <w:fldChar w:fldCharType="separate"/>
    </w:r>
    <w:r w:rsidR="00B30DFE">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B0629" w14:textId="77777777" w:rsidR="001A27F3" w:rsidRDefault="001A2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DB7AD" w14:textId="77777777" w:rsidR="001A1C32" w:rsidRDefault="001A1C32" w:rsidP="00616B9D">
      <w:r>
        <w:separator/>
      </w:r>
    </w:p>
  </w:footnote>
  <w:footnote w:type="continuationSeparator" w:id="0">
    <w:p w14:paraId="5F06E99F" w14:textId="77777777" w:rsidR="001A1C32" w:rsidRDefault="001A1C32" w:rsidP="00616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10CC" w14:textId="77777777" w:rsidR="001A27F3" w:rsidRDefault="001A2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DC3EA" w14:textId="77777777" w:rsidR="00773644" w:rsidRPr="001A27F3" w:rsidRDefault="00000000" w:rsidP="001A27F3">
    <w:pPr>
      <w:pStyle w:val="Header"/>
      <w:jc w:val="right"/>
      <w:rPr>
        <w:color w:val="A6A6A6" w:themeColor="background1" w:themeShade="A6"/>
        <w:sz w:val="15"/>
        <w:szCs w:val="15"/>
      </w:rPr>
    </w:pPr>
    <w:r w:rsidRPr="001A27F3">
      <w:rPr>
        <w:color w:val="A6A6A6" w:themeColor="background1" w:themeShade="A6"/>
        <w:sz w:val="15"/>
        <w:szCs w:val="15"/>
      </w:rPr>
      <w:t>AURORA MOTORS: THE FLOW COORDINATION DILEMMA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9BC49" w14:textId="77777777" w:rsidR="001A27F3" w:rsidRDefault="001A2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8F0280"/>
    <w:multiLevelType w:val="hybridMultilevel"/>
    <w:tmpl w:val="646AA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FB18C5"/>
    <w:multiLevelType w:val="hybridMultilevel"/>
    <w:tmpl w:val="06229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8A2101"/>
    <w:multiLevelType w:val="multilevel"/>
    <w:tmpl w:val="D2BE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164939">
    <w:abstractNumId w:val="8"/>
  </w:num>
  <w:num w:numId="2" w16cid:durableId="2089573809">
    <w:abstractNumId w:val="6"/>
  </w:num>
  <w:num w:numId="3" w16cid:durableId="703360688">
    <w:abstractNumId w:val="5"/>
  </w:num>
  <w:num w:numId="4" w16cid:durableId="196242669">
    <w:abstractNumId w:val="4"/>
  </w:num>
  <w:num w:numId="5" w16cid:durableId="743528209">
    <w:abstractNumId w:val="7"/>
  </w:num>
  <w:num w:numId="6" w16cid:durableId="1170557246">
    <w:abstractNumId w:val="3"/>
  </w:num>
  <w:num w:numId="7" w16cid:durableId="471946228">
    <w:abstractNumId w:val="2"/>
  </w:num>
  <w:num w:numId="8" w16cid:durableId="213394436">
    <w:abstractNumId w:val="1"/>
  </w:num>
  <w:num w:numId="9" w16cid:durableId="1175220039">
    <w:abstractNumId w:val="0"/>
  </w:num>
  <w:num w:numId="10" w16cid:durableId="1913854589">
    <w:abstractNumId w:val="12"/>
  </w:num>
  <w:num w:numId="11" w16cid:durableId="1268582022">
    <w:abstractNumId w:val="11"/>
  </w:num>
  <w:num w:numId="12" w16cid:durableId="1943032820">
    <w:abstractNumId w:val="10"/>
  </w:num>
  <w:num w:numId="13" w16cid:durableId="18358743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A1C32"/>
    <w:rsid w:val="001A27F3"/>
    <w:rsid w:val="0029639D"/>
    <w:rsid w:val="00305637"/>
    <w:rsid w:val="00326F90"/>
    <w:rsid w:val="004A4F99"/>
    <w:rsid w:val="00590B9A"/>
    <w:rsid w:val="00616B9D"/>
    <w:rsid w:val="00773644"/>
    <w:rsid w:val="008852B7"/>
    <w:rsid w:val="009D1F29"/>
    <w:rsid w:val="00AA1D8D"/>
    <w:rsid w:val="00B30DFE"/>
    <w:rsid w:val="00B47730"/>
    <w:rsid w:val="00CB0664"/>
    <w:rsid w:val="00D13DF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5EF4B5"/>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B9D"/>
    <w:pPr>
      <w:spacing w:after="80" w:line="245" w:lineRule="auto"/>
    </w:pPr>
    <w:rPr>
      <w:rFonts w:ascii="Aptos" w:eastAsia="Aptos" w:hAnsi="Aptos"/>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b/>
      <w:bCs/>
      <w:color w:val="1F4E5F"/>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A4F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inyurl.com/FramingMatri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2357</Words>
  <Characters>13437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Aurora Motors: The Flow Coordination Dilemma</dc:title>
  <dc:subject>Business teaching case</dc:subject>
  <dc:creator>OpenAI</dc:creator>
  <cp:keywords/>
  <dc:description>Fictional teaching case with historical source notes.</dc:description>
  <cp:lastModifiedBy>Warren Powell</cp:lastModifiedBy>
  <cp:revision>6</cp:revision>
  <dcterms:created xsi:type="dcterms:W3CDTF">2026-07-29T20:30:00Z</dcterms:created>
  <dcterms:modified xsi:type="dcterms:W3CDTF">2026-07-30T18:55:00Z</dcterms:modified>
  <cp:category/>
</cp:coreProperties>
</file>