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FA4C" w14:textId="77777777" w:rsidR="00B3345D" w:rsidRDefault="00000000">
      <w:pPr>
        <w:pStyle w:val="CaseTitle"/>
      </w:pPr>
      <w:r>
        <w:t>ASTERION THERAPEUTICS</w:t>
      </w:r>
    </w:p>
    <w:p w14:paraId="25D81AF4" w14:textId="77777777" w:rsidR="00B3345D" w:rsidRDefault="00000000">
      <w:pPr>
        <w:pStyle w:val="CaseSubtitle"/>
      </w:pPr>
      <w:r>
        <w:t>The Enrollment Clock</w:t>
      </w:r>
    </w:p>
    <w:p w14:paraId="6E8EBCB5" w14:textId="77777777" w:rsidR="00B3345D" w:rsidRDefault="00000000">
      <w:pPr>
        <w:pStyle w:val="CaseDeck"/>
      </w:pPr>
      <w:r>
        <w:t>A clinical-development case on evidence, recruitment, safety, and the cost of waiting</w:t>
      </w:r>
    </w:p>
    <w:p w14:paraId="74EA6330" w14:textId="77777777" w:rsidR="00B3345D" w:rsidRDefault="00000000">
      <w:pPr>
        <w:pStyle w:val="CaseSpacer"/>
      </w:pPr>
      <w:r>
        <w:br/>
      </w:r>
    </w:p>
    <w:p w14:paraId="5EEC16F5" w14:textId="77777777" w:rsidR="00B3345D" w:rsidRDefault="00000000">
      <w:pPr>
        <w:pStyle w:val="CaseSpacer"/>
      </w:pPr>
      <w:r>
        <w:br/>
      </w:r>
    </w:p>
    <w:p w14:paraId="22398BD9" w14:textId="77777777" w:rsidR="00B3345D" w:rsidRDefault="00000000">
      <w:pPr>
        <w:pStyle w:val="CaseDisclaimer"/>
      </w:pPr>
      <w:r>
        <w:t>This case is fictional and intended for instructional discussion. Names, events, products, and company data are invented; public statistics are cited in the source note.</w:t>
      </w:r>
    </w:p>
    <w:p w14:paraId="14B6CB51" w14:textId="77777777" w:rsidR="00B3345D" w:rsidRDefault="00B3345D">
      <w:pPr>
        <w:pStyle w:val="CaseSpacer"/>
      </w:pPr>
    </w:p>
    <w:p w14:paraId="43A2A0D7" w14:textId="77777777" w:rsidR="00B3345D" w:rsidRDefault="00000000">
      <w:pPr>
        <w:pStyle w:val="Heading1"/>
      </w:pPr>
      <w:r>
        <w:t>A Promising Therapy With a Narrow Window</w:t>
      </w:r>
    </w:p>
    <w:p w14:paraId="51013DB5" w14:textId="77777777" w:rsidR="00B3345D" w:rsidRDefault="00000000">
      <w:r>
        <w:t>At 7:15 on a Tuesday morning in March 2027, Maya Chen, chief development officer of Asterion Therapeutics, opened the interim report for AST-417, an injectable therapy for progressive pulmonary fibrosis. The company had spent six years and $214 million moving the compound from laboratory work through two early clinical studies. Asterion now had enough evidence to believe the therapy could slow the loss of lung function, but not enough evidence to know whether the benefit would be clinically persuasive, durable, or broad enough to support approval.</w:t>
      </w:r>
    </w:p>
    <w:p w14:paraId="37A92E48" w14:textId="77777777" w:rsidR="00B3345D" w:rsidRDefault="00000000">
      <w:r>
        <w:t>The decision could not be separated from time. Asterion had 31 months of cash at its current spending rate, but a full pivotal program could consume most of that runway. Patent protection was already eroding, a larger competitor had announced a related trial, and the company’s contract manufacturer needed a capacity commitment within six weeks. Delaying would produce more information, but it would also cost money, patients, manufacturing options, and perhaps market position.</w:t>
      </w:r>
    </w:p>
    <w:p w14:paraId="70615EB7" w14:textId="77777777" w:rsidR="00B3345D" w:rsidRDefault="00000000">
      <w:pPr>
        <w:pStyle w:val="Heading2"/>
      </w:pPr>
      <w:r>
        <w:t>Exhibit 1. AST-417 Development Position</w:t>
      </w:r>
    </w:p>
    <w:tbl>
      <w:tblPr>
        <w:tblStyle w:val="TableGrid"/>
        <w:tblW w:w="0" w:type="auto"/>
        <w:tblLayout w:type="fixed"/>
        <w:tblLook w:val="04A0" w:firstRow="1" w:lastRow="0" w:firstColumn="1" w:lastColumn="0" w:noHBand="0" w:noVBand="1"/>
      </w:tblPr>
      <w:tblGrid>
        <w:gridCol w:w="2232"/>
        <w:gridCol w:w="2448"/>
        <w:gridCol w:w="4536"/>
      </w:tblGrid>
      <w:tr w:rsidR="00B3345D" w14:paraId="423FCB05" w14:textId="77777777">
        <w:tc>
          <w:tcPr>
            <w:tcW w:w="2232" w:type="dxa"/>
            <w:shd w:val="clear" w:color="auto" w:fill="D9EAF7"/>
            <w:tcMar>
              <w:top w:w="60" w:type="dxa"/>
              <w:left w:w="80" w:type="dxa"/>
              <w:bottom w:w="60" w:type="dxa"/>
              <w:right w:w="80" w:type="dxa"/>
            </w:tcMar>
          </w:tcPr>
          <w:p w14:paraId="627B7529" w14:textId="77777777" w:rsidR="00B3345D" w:rsidRDefault="00000000">
            <w:pPr>
              <w:pStyle w:val="ExhibitTableHeader"/>
            </w:pPr>
            <w:r>
              <w:t>Item</w:t>
            </w:r>
          </w:p>
        </w:tc>
        <w:tc>
          <w:tcPr>
            <w:tcW w:w="2448" w:type="dxa"/>
            <w:shd w:val="clear" w:color="auto" w:fill="D9EAF7"/>
            <w:tcMar>
              <w:top w:w="60" w:type="dxa"/>
              <w:left w:w="80" w:type="dxa"/>
              <w:bottom w:w="60" w:type="dxa"/>
              <w:right w:w="80" w:type="dxa"/>
            </w:tcMar>
          </w:tcPr>
          <w:p w14:paraId="354A8847" w14:textId="77777777" w:rsidR="00B3345D" w:rsidRDefault="00000000">
            <w:pPr>
              <w:pStyle w:val="ExhibitTableHeader"/>
            </w:pPr>
            <w:r>
              <w:t>Current position</w:t>
            </w:r>
          </w:p>
        </w:tc>
        <w:tc>
          <w:tcPr>
            <w:tcW w:w="4536" w:type="dxa"/>
            <w:shd w:val="clear" w:color="auto" w:fill="D9EAF7"/>
            <w:tcMar>
              <w:top w:w="60" w:type="dxa"/>
              <w:left w:w="80" w:type="dxa"/>
              <w:bottom w:w="60" w:type="dxa"/>
              <w:right w:w="80" w:type="dxa"/>
            </w:tcMar>
          </w:tcPr>
          <w:p w14:paraId="075AD23B" w14:textId="77777777" w:rsidR="00B3345D" w:rsidRDefault="00000000">
            <w:pPr>
              <w:pStyle w:val="ExhibitTableHeader"/>
            </w:pPr>
            <w:r>
              <w:t>Management concern</w:t>
            </w:r>
          </w:p>
        </w:tc>
      </w:tr>
      <w:tr w:rsidR="00B3345D" w14:paraId="63CBD336" w14:textId="77777777">
        <w:tc>
          <w:tcPr>
            <w:tcW w:w="2232" w:type="dxa"/>
            <w:tcMar>
              <w:top w:w="60" w:type="dxa"/>
              <w:left w:w="80" w:type="dxa"/>
              <w:bottom w:w="60" w:type="dxa"/>
              <w:right w:w="80" w:type="dxa"/>
            </w:tcMar>
          </w:tcPr>
          <w:p w14:paraId="245C5164" w14:textId="77777777" w:rsidR="00B3345D" w:rsidRDefault="00000000">
            <w:pPr>
              <w:pStyle w:val="ExhibitTableBody"/>
            </w:pPr>
            <w:r>
              <w:t>Development stage</w:t>
            </w:r>
          </w:p>
        </w:tc>
        <w:tc>
          <w:tcPr>
            <w:tcW w:w="2448" w:type="dxa"/>
            <w:tcMar>
              <w:top w:w="60" w:type="dxa"/>
              <w:left w:w="80" w:type="dxa"/>
              <w:bottom w:w="60" w:type="dxa"/>
              <w:right w:w="80" w:type="dxa"/>
            </w:tcMar>
          </w:tcPr>
          <w:p w14:paraId="04AB2340" w14:textId="77777777" w:rsidR="00B3345D" w:rsidRDefault="00000000">
            <w:pPr>
              <w:pStyle w:val="ExhibitTableBody"/>
            </w:pPr>
            <w:r>
              <w:t>Phase IIb interim review</w:t>
            </w:r>
          </w:p>
        </w:tc>
        <w:tc>
          <w:tcPr>
            <w:tcW w:w="4536" w:type="dxa"/>
            <w:tcMar>
              <w:top w:w="60" w:type="dxa"/>
              <w:left w:w="80" w:type="dxa"/>
              <w:bottom w:w="60" w:type="dxa"/>
              <w:right w:w="80" w:type="dxa"/>
            </w:tcMar>
          </w:tcPr>
          <w:p w14:paraId="34741163" w14:textId="77777777" w:rsidR="00B3345D" w:rsidRDefault="00000000">
            <w:pPr>
              <w:pStyle w:val="ExhibitTableBody"/>
            </w:pPr>
            <w:r>
              <w:t>Whether evidence is strong enough to design a pivotal study</w:t>
            </w:r>
          </w:p>
        </w:tc>
      </w:tr>
      <w:tr w:rsidR="00B3345D" w14:paraId="1FEEC5A6" w14:textId="77777777">
        <w:tc>
          <w:tcPr>
            <w:tcW w:w="2232" w:type="dxa"/>
            <w:tcMar>
              <w:top w:w="60" w:type="dxa"/>
              <w:left w:w="80" w:type="dxa"/>
              <w:bottom w:w="60" w:type="dxa"/>
              <w:right w:w="80" w:type="dxa"/>
            </w:tcMar>
          </w:tcPr>
          <w:p w14:paraId="1D72AD10" w14:textId="77777777" w:rsidR="00B3345D" w:rsidRDefault="00000000">
            <w:pPr>
              <w:pStyle w:val="ExhibitTableBody"/>
            </w:pPr>
            <w:r>
              <w:t>Patients randomized</w:t>
            </w:r>
          </w:p>
        </w:tc>
        <w:tc>
          <w:tcPr>
            <w:tcW w:w="2448" w:type="dxa"/>
            <w:tcMar>
              <w:top w:w="60" w:type="dxa"/>
              <w:left w:w="80" w:type="dxa"/>
              <w:bottom w:w="60" w:type="dxa"/>
              <w:right w:w="80" w:type="dxa"/>
            </w:tcMar>
          </w:tcPr>
          <w:p w14:paraId="53660E9C" w14:textId="77777777" w:rsidR="00B3345D" w:rsidRDefault="00000000">
            <w:pPr>
              <w:pStyle w:val="ExhibitTableBody"/>
            </w:pPr>
            <w:r>
              <w:t>186 of planned 240</w:t>
            </w:r>
          </w:p>
        </w:tc>
        <w:tc>
          <w:tcPr>
            <w:tcW w:w="4536" w:type="dxa"/>
            <w:tcMar>
              <w:top w:w="60" w:type="dxa"/>
              <w:left w:w="80" w:type="dxa"/>
              <w:bottom w:w="60" w:type="dxa"/>
              <w:right w:w="80" w:type="dxa"/>
            </w:tcMar>
          </w:tcPr>
          <w:p w14:paraId="0D4B61AC" w14:textId="77777777" w:rsidR="00B3345D" w:rsidRDefault="00000000">
            <w:pPr>
              <w:pStyle w:val="ExhibitTableBody"/>
            </w:pPr>
            <w:r>
              <w:t>Enrollment is 7 months behind plan</w:t>
            </w:r>
          </w:p>
        </w:tc>
      </w:tr>
      <w:tr w:rsidR="00B3345D" w14:paraId="3AB98BDC" w14:textId="77777777">
        <w:tc>
          <w:tcPr>
            <w:tcW w:w="2232" w:type="dxa"/>
            <w:tcMar>
              <w:top w:w="60" w:type="dxa"/>
              <w:left w:w="80" w:type="dxa"/>
              <w:bottom w:w="60" w:type="dxa"/>
              <w:right w:w="80" w:type="dxa"/>
            </w:tcMar>
          </w:tcPr>
          <w:p w14:paraId="262133B1" w14:textId="77777777" w:rsidR="00B3345D" w:rsidRDefault="00000000">
            <w:pPr>
              <w:pStyle w:val="ExhibitTableBody"/>
            </w:pPr>
            <w:r>
              <w:t>Treatment arms</w:t>
            </w:r>
          </w:p>
        </w:tc>
        <w:tc>
          <w:tcPr>
            <w:tcW w:w="2448" w:type="dxa"/>
            <w:tcMar>
              <w:top w:w="60" w:type="dxa"/>
              <w:left w:w="80" w:type="dxa"/>
              <w:bottom w:w="60" w:type="dxa"/>
              <w:right w:w="80" w:type="dxa"/>
            </w:tcMar>
          </w:tcPr>
          <w:p w14:paraId="62C8E497" w14:textId="77777777" w:rsidR="00B3345D" w:rsidRDefault="00000000">
            <w:pPr>
              <w:pStyle w:val="ExhibitTableBody"/>
            </w:pPr>
            <w:r>
              <w:t>High dose, low dose, placebo</w:t>
            </w:r>
          </w:p>
        </w:tc>
        <w:tc>
          <w:tcPr>
            <w:tcW w:w="4536" w:type="dxa"/>
            <w:tcMar>
              <w:top w:w="60" w:type="dxa"/>
              <w:left w:w="80" w:type="dxa"/>
              <w:bottom w:w="60" w:type="dxa"/>
              <w:right w:w="80" w:type="dxa"/>
            </w:tcMar>
          </w:tcPr>
          <w:p w14:paraId="4FF66625" w14:textId="77777777" w:rsidR="00B3345D" w:rsidRDefault="00000000">
            <w:pPr>
              <w:pStyle w:val="ExhibitTableBody"/>
            </w:pPr>
            <w:r>
              <w:t>Dose-response pattern is not yet clear</w:t>
            </w:r>
          </w:p>
        </w:tc>
      </w:tr>
      <w:tr w:rsidR="00B3345D" w14:paraId="7A343561" w14:textId="77777777">
        <w:tc>
          <w:tcPr>
            <w:tcW w:w="2232" w:type="dxa"/>
            <w:tcMar>
              <w:top w:w="60" w:type="dxa"/>
              <w:left w:w="80" w:type="dxa"/>
              <w:bottom w:w="60" w:type="dxa"/>
              <w:right w:w="80" w:type="dxa"/>
            </w:tcMar>
          </w:tcPr>
          <w:p w14:paraId="7B373868" w14:textId="77777777" w:rsidR="00B3345D" w:rsidRDefault="00000000">
            <w:pPr>
              <w:pStyle w:val="ExhibitTableBody"/>
            </w:pPr>
            <w:r>
              <w:t>Cash and investments</w:t>
            </w:r>
          </w:p>
        </w:tc>
        <w:tc>
          <w:tcPr>
            <w:tcW w:w="2448" w:type="dxa"/>
            <w:tcMar>
              <w:top w:w="60" w:type="dxa"/>
              <w:left w:w="80" w:type="dxa"/>
              <w:bottom w:w="60" w:type="dxa"/>
              <w:right w:w="80" w:type="dxa"/>
            </w:tcMar>
          </w:tcPr>
          <w:p w14:paraId="107BE48C" w14:textId="77777777" w:rsidR="00B3345D" w:rsidRDefault="00000000">
            <w:pPr>
              <w:pStyle w:val="ExhibitTableBody"/>
            </w:pPr>
            <w:r>
              <w:t>$318 million</w:t>
            </w:r>
          </w:p>
        </w:tc>
        <w:tc>
          <w:tcPr>
            <w:tcW w:w="4536" w:type="dxa"/>
            <w:tcMar>
              <w:top w:w="60" w:type="dxa"/>
              <w:left w:w="80" w:type="dxa"/>
              <w:bottom w:w="60" w:type="dxa"/>
              <w:right w:w="80" w:type="dxa"/>
            </w:tcMar>
          </w:tcPr>
          <w:p w14:paraId="7BFB7E96" w14:textId="77777777" w:rsidR="00B3345D" w:rsidRDefault="00000000">
            <w:pPr>
              <w:pStyle w:val="ExhibitTableBody"/>
            </w:pPr>
            <w:r>
              <w:t>Multiple trial designs could require additional financing</w:t>
            </w:r>
          </w:p>
        </w:tc>
      </w:tr>
      <w:tr w:rsidR="00B3345D" w14:paraId="0FAC1F32" w14:textId="77777777">
        <w:tc>
          <w:tcPr>
            <w:tcW w:w="2232" w:type="dxa"/>
            <w:tcMar>
              <w:top w:w="60" w:type="dxa"/>
              <w:left w:w="80" w:type="dxa"/>
              <w:bottom w:w="60" w:type="dxa"/>
              <w:right w:w="80" w:type="dxa"/>
            </w:tcMar>
          </w:tcPr>
          <w:p w14:paraId="3FF0B1DD" w14:textId="77777777" w:rsidR="00B3345D" w:rsidRDefault="00000000">
            <w:pPr>
              <w:pStyle w:val="ExhibitTableBody"/>
            </w:pPr>
            <w:r>
              <w:t>Estimated patent expiry</w:t>
            </w:r>
          </w:p>
        </w:tc>
        <w:tc>
          <w:tcPr>
            <w:tcW w:w="2448" w:type="dxa"/>
            <w:tcMar>
              <w:top w:w="60" w:type="dxa"/>
              <w:left w:w="80" w:type="dxa"/>
              <w:bottom w:w="60" w:type="dxa"/>
              <w:right w:w="80" w:type="dxa"/>
            </w:tcMar>
          </w:tcPr>
          <w:p w14:paraId="0FE44D38" w14:textId="77777777" w:rsidR="00B3345D" w:rsidRDefault="00000000">
            <w:pPr>
              <w:pStyle w:val="ExhibitTableBody"/>
            </w:pPr>
            <w:r>
              <w:t>2034</w:t>
            </w:r>
          </w:p>
        </w:tc>
        <w:tc>
          <w:tcPr>
            <w:tcW w:w="4536" w:type="dxa"/>
            <w:tcMar>
              <w:top w:w="60" w:type="dxa"/>
              <w:left w:w="80" w:type="dxa"/>
              <w:bottom w:w="60" w:type="dxa"/>
              <w:right w:w="80" w:type="dxa"/>
            </w:tcMar>
          </w:tcPr>
          <w:p w14:paraId="44732054" w14:textId="77777777" w:rsidR="00B3345D" w:rsidRDefault="00000000">
            <w:pPr>
              <w:pStyle w:val="ExhibitTableBody"/>
            </w:pPr>
            <w:r>
              <w:t>Commercial life shrinks with each delay</w:t>
            </w:r>
          </w:p>
        </w:tc>
      </w:tr>
      <w:tr w:rsidR="00B3345D" w14:paraId="07A8D935" w14:textId="77777777">
        <w:tc>
          <w:tcPr>
            <w:tcW w:w="2232" w:type="dxa"/>
            <w:tcMar>
              <w:top w:w="60" w:type="dxa"/>
              <w:left w:w="80" w:type="dxa"/>
              <w:bottom w:w="60" w:type="dxa"/>
              <w:right w:w="80" w:type="dxa"/>
            </w:tcMar>
          </w:tcPr>
          <w:p w14:paraId="59356B1F" w14:textId="77777777" w:rsidR="00B3345D" w:rsidRDefault="00000000">
            <w:pPr>
              <w:pStyle w:val="ExhibitTableBody"/>
            </w:pPr>
            <w:r>
              <w:t>Competing programs</w:t>
            </w:r>
          </w:p>
        </w:tc>
        <w:tc>
          <w:tcPr>
            <w:tcW w:w="2448" w:type="dxa"/>
            <w:tcMar>
              <w:top w:w="60" w:type="dxa"/>
              <w:left w:w="80" w:type="dxa"/>
              <w:bottom w:w="60" w:type="dxa"/>
              <w:right w:w="80" w:type="dxa"/>
            </w:tcMar>
          </w:tcPr>
          <w:p w14:paraId="715B79AC" w14:textId="77777777" w:rsidR="00B3345D" w:rsidRDefault="00000000">
            <w:pPr>
              <w:pStyle w:val="ExhibitTableBody"/>
            </w:pPr>
            <w:r>
              <w:t>Three, including one Phase III</w:t>
            </w:r>
          </w:p>
        </w:tc>
        <w:tc>
          <w:tcPr>
            <w:tcW w:w="4536" w:type="dxa"/>
            <w:tcMar>
              <w:top w:w="60" w:type="dxa"/>
              <w:left w:w="80" w:type="dxa"/>
              <w:bottom w:w="60" w:type="dxa"/>
              <w:right w:w="80" w:type="dxa"/>
            </w:tcMar>
          </w:tcPr>
          <w:p w14:paraId="5D57AD86" w14:textId="77777777" w:rsidR="00B3345D" w:rsidRDefault="00000000">
            <w:pPr>
              <w:pStyle w:val="ExhibitTableBody"/>
            </w:pPr>
            <w:r>
              <w:t>Physician and investigator attention may shift</w:t>
            </w:r>
          </w:p>
        </w:tc>
      </w:tr>
    </w:tbl>
    <w:tbl>
      <w:tblPr>
        <w:tblStyle w:val="TableGrid"/>
        <w:tblW w:w="0" w:type="auto"/>
        <w:tblLook w:val="04A0" w:firstRow="1" w:lastRow="0" w:firstColumn="1" w:lastColumn="0" w:noHBand="0" w:noVBand="1"/>
      </w:tblPr>
      <w:tblGrid>
        <w:gridCol w:w="10272"/>
      </w:tblGrid>
      <w:tr w:rsidR="00B3345D" w14:paraId="12CB0380" w14:textId="77777777">
        <w:tc>
          <w:tcPr>
            <w:tcW w:w="10282" w:type="dxa"/>
            <w:shd w:val="clear" w:color="auto" w:fill="EAF2F8"/>
            <w:tcMar>
              <w:top w:w="100" w:type="dxa"/>
              <w:left w:w="120" w:type="dxa"/>
              <w:bottom w:w="100" w:type="dxa"/>
              <w:right w:w="120" w:type="dxa"/>
            </w:tcMar>
          </w:tcPr>
          <w:p w14:paraId="73A16C77" w14:textId="77777777" w:rsidR="00B3345D" w:rsidRDefault="00000000">
            <w:pPr>
              <w:pStyle w:val="CaseCallout"/>
            </w:pPr>
            <w:r>
              <w:t>Asterion had to decide not only whether AST-417 should continue, but what evidence to collect next, where to collect it, how many patients to seek, and how much of the company to place at risk before the answer was known.</w:t>
            </w:r>
          </w:p>
        </w:tc>
      </w:tr>
    </w:tbl>
    <w:p w14:paraId="1151F921" w14:textId="77777777" w:rsidR="00B3345D" w:rsidRDefault="00000000">
      <w:pPr>
        <w:pStyle w:val="Heading1"/>
      </w:pPr>
      <w:r>
        <w:t>The Interim Evidence</w:t>
      </w:r>
    </w:p>
    <w:p w14:paraId="10CF203D" w14:textId="77777777" w:rsidR="00B3345D" w:rsidRDefault="00000000">
      <w:r>
        <w:t>AST-417 was intended for patients whose disease continued to progress despite existing therapy. The Phase IIb protocol measured change in forced vital capacity after 24 weeks, along with exercise tolerance, patient-reported breathing difficulty, hospitalizations, laboratory markers, and adverse events. Investigators had expected the high dose to show the clearest benefit. Instead, the low-dose group had produced the strongest average result, while the high-dose group included both dramatic responders and several patients who discontinued treatment.</w:t>
      </w:r>
    </w:p>
    <w:p w14:paraId="75146EF1" w14:textId="77777777" w:rsidR="00B3345D" w:rsidRDefault="00000000">
      <w:r>
        <w:lastRenderedPageBreak/>
        <w:t>The averages concealed important differences. Patients diagnosed within the previous two years appeared to improve more than patients with advanced disease. Results also varied by region and by whether patients remained on background therapy. The subgroup findings were scientifically plausible, but the trial had not been designed to prove them. Narrowing the next study to the apparent responders could raise the probability of a positive result, but it could also reduce the potential market and make recruitment more difficult.</w:t>
      </w:r>
    </w:p>
    <w:p w14:paraId="2BF108E4" w14:textId="77777777" w:rsidR="00B3345D" w:rsidRDefault="00000000">
      <w:pPr>
        <w:pStyle w:val="Heading2"/>
      </w:pPr>
      <w:r>
        <w:t>Exhibit 2. Week-24 Interim Results</w:t>
      </w:r>
    </w:p>
    <w:tbl>
      <w:tblPr>
        <w:tblStyle w:val="TableGrid"/>
        <w:tblW w:w="0" w:type="auto"/>
        <w:tblLayout w:type="fixed"/>
        <w:tblLook w:val="04A0" w:firstRow="1" w:lastRow="0" w:firstColumn="1" w:lastColumn="0" w:noHBand="0" w:noVBand="1"/>
      </w:tblPr>
      <w:tblGrid>
        <w:gridCol w:w="3528"/>
        <w:gridCol w:w="1872"/>
        <w:gridCol w:w="1872"/>
        <w:gridCol w:w="1872"/>
      </w:tblGrid>
      <w:tr w:rsidR="00B3345D" w14:paraId="0F90C3FD" w14:textId="77777777">
        <w:tc>
          <w:tcPr>
            <w:tcW w:w="3528" w:type="dxa"/>
            <w:shd w:val="clear" w:color="auto" w:fill="D9EAF7"/>
            <w:tcMar>
              <w:top w:w="60" w:type="dxa"/>
              <w:left w:w="80" w:type="dxa"/>
              <w:bottom w:w="60" w:type="dxa"/>
              <w:right w:w="80" w:type="dxa"/>
            </w:tcMar>
          </w:tcPr>
          <w:p w14:paraId="58EED7B0" w14:textId="77777777" w:rsidR="00B3345D" w:rsidRDefault="00000000">
            <w:pPr>
              <w:pStyle w:val="ExhibitTableHeader"/>
            </w:pPr>
            <w:r>
              <w:t>Measure</w:t>
            </w:r>
          </w:p>
        </w:tc>
        <w:tc>
          <w:tcPr>
            <w:tcW w:w="1872" w:type="dxa"/>
            <w:shd w:val="clear" w:color="auto" w:fill="D9EAF7"/>
            <w:tcMar>
              <w:top w:w="60" w:type="dxa"/>
              <w:left w:w="80" w:type="dxa"/>
              <w:bottom w:w="60" w:type="dxa"/>
              <w:right w:w="80" w:type="dxa"/>
            </w:tcMar>
          </w:tcPr>
          <w:p w14:paraId="5DD55201" w14:textId="77777777" w:rsidR="00B3345D" w:rsidRDefault="00000000">
            <w:pPr>
              <w:pStyle w:val="ExhibitTableHeader"/>
            </w:pPr>
            <w:r>
              <w:t>Placebo</w:t>
            </w:r>
          </w:p>
        </w:tc>
        <w:tc>
          <w:tcPr>
            <w:tcW w:w="1872" w:type="dxa"/>
            <w:shd w:val="clear" w:color="auto" w:fill="D9EAF7"/>
            <w:tcMar>
              <w:top w:w="60" w:type="dxa"/>
              <w:left w:w="80" w:type="dxa"/>
              <w:bottom w:w="60" w:type="dxa"/>
              <w:right w:w="80" w:type="dxa"/>
            </w:tcMar>
          </w:tcPr>
          <w:p w14:paraId="5BB7CCC0" w14:textId="77777777" w:rsidR="00B3345D" w:rsidRDefault="00000000">
            <w:pPr>
              <w:pStyle w:val="ExhibitTableHeader"/>
            </w:pPr>
            <w:r>
              <w:t>Low dose</w:t>
            </w:r>
          </w:p>
        </w:tc>
        <w:tc>
          <w:tcPr>
            <w:tcW w:w="1872" w:type="dxa"/>
            <w:shd w:val="clear" w:color="auto" w:fill="D9EAF7"/>
            <w:tcMar>
              <w:top w:w="60" w:type="dxa"/>
              <w:left w:w="80" w:type="dxa"/>
              <w:bottom w:w="60" w:type="dxa"/>
              <w:right w:w="80" w:type="dxa"/>
            </w:tcMar>
          </w:tcPr>
          <w:p w14:paraId="3536BA2B" w14:textId="77777777" w:rsidR="00B3345D" w:rsidRDefault="00000000">
            <w:pPr>
              <w:pStyle w:val="ExhibitTableHeader"/>
            </w:pPr>
            <w:r>
              <w:t>High dose</w:t>
            </w:r>
          </w:p>
        </w:tc>
      </w:tr>
      <w:tr w:rsidR="00B3345D" w14:paraId="7D7EC721" w14:textId="77777777">
        <w:tc>
          <w:tcPr>
            <w:tcW w:w="3528" w:type="dxa"/>
            <w:tcMar>
              <w:top w:w="60" w:type="dxa"/>
              <w:left w:w="80" w:type="dxa"/>
              <w:bottom w:w="60" w:type="dxa"/>
              <w:right w:w="80" w:type="dxa"/>
            </w:tcMar>
          </w:tcPr>
          <w:p w14:paraId="3FBB7583" w14:textId="77777777" w:rsidR="00B3345D" w:rsidRDefault="00000000">
            <w:pPr>
              <w:pStyle w:val="ExhibitTableBody"/>
            </w:pPr>
            <w:r>
              <w:t>Mean change in lung-function measure</w:t>
            </w:r>
          </w:p>
        </w:tc>
        <w:tc>
          <w:tcPr>
            <w:tcW w:w="1872" w:type="dxa"/>
            <w:tcMar>
              <w:top w:w="60" w:type="dxa"/>
              <w:left w:w="80" w:type="dxa"/>
              <w:bottom w:w="60" w:type="dxa"/>
              <w:right w:w="80" w:type="dxa"/>
            </w:tcMar>
          </w:tcPr>
          <w:p w14:paraId="1597E9B3" w14:textId="77777777" w:rsidR="00B3345D" w:rsidRDefault="00000000">
            <w:pPr>
              <w:pStyle w:val="ExhibitTableBody"/>
            </w:pPr>
            <w:r>
              <w:t>-126 mL</w:t>
            </w:r>
          </w:p>
        </w:tc>
        <w:tc>
          <w:tcPr>
            <w:tcW w:w="1872" w:type="dxa"/>
            <w:tcMar>
              <w:top w:w="60" w:type="dxa"/>
              <w:left w:w="80" w:type="dxa"/>
              <w:bottom w:w="60" w:type="dxa"/>
              <w:right w:w="80" w:type="dxa"/>
            </w:tcMar>
          </w:tcPr>
          <w:p w14:paraId="7FED39F6" w14:textId="77777777" w:rsidR="00B3345D" w:rsidRDefault="00000000">
            <w:pPr>
              <w:pStyle w:val="ExhibitTableBody"/>
            </w:pPr>
            <w:r>
              <w:t>-71 mL</w:t>
            </w:r>
          </w:p>
        </w:tc>
        <w:tc>
          <w:tcPr>
            <w:tcW w:w="1872" w:type="dxa"/>
            <w:tcMar>
              <w:top w:w="60" w:type="dxa"/>
              <w:left w:w="80" w:type="dxa"/>
              <w:bottom w:w="60" w:type="dxa"/>
              <w:right w:w="80" w:type="dxa"/>
            </w:tcMar>
          </w:tcPr>
          <w:p w14:paraId="4AD58C93" w14:textId="77777777" w:rsidR="00B3345D" w:rsidRDefault="00000000">
            <w:pPr>
              <w:pStyle w:val="ExhibitTableBody"/>
            </w:pPr>
            <w:r>
              <w:t>-82 mL</w:t>
            </w:r>
          </w:p>
        </w:tc>
      </w:tr>
      <w:tr w:rsidR="00B3345D" w14:paraId="5821CF75" w14:textId="77777777">
        <w:tc>
          <w:tcPr>
            <w:tcW w:w="3528" w:type="dxa"/>
            <w:tcMar>
              <w:top w:w="60" w:type="dxa"/>
              <w:left w:w="80" w:type="dxa"/>
              <w:bottom w:w="60" w:type="dxa"/>
              <w:right w:w="80" w:type="dxa"/>
            </w:tcMar>
          </w:tcPr>
          <w:p w14:paraId="03AA3421" w14:textId="77777777" w:rsidR="00B3345D" w:rsidRDefault="00000000">
            <w:pPr>
              <w:pStyle w:val="ExhibitTableBody"/>
            </w:pPr>
            <w:r>
              <w:t>Patients with clinically meaningful improvement</w:t>
            </w:r>
          </w:p>
        </w:tc>
        <w:tc>
          <w:tcPr>
            <w:tcW w:w="1872" w:type="dxa"/>
            <w:tcMar>
              <w:top w:w="60" w:type="dxa"/>
              <w:left w:w="80" w:type="dxa"/>
              <w:bottom w:w="60" w:type="dxa"/>
              <w:right w:w="80" w:type="dxa"/>
            </w:tcMar>
          </w:tcPr>
          <w:p w14:paraId="339E8246" w14:textId="77777777" w:rsidR="00B3345D" w:rsidRDefault="00000000">
            <w:pPr>
              <w:pStyle w:val="ExhibitTableBody"/>
            </w:pPr>
            <w:r>
              <w:t>14%</w:t>
            </w:r>
          </w:p>
        </w:tc>
        <w:tc>
          <w:tcPr>
            <w:tcW w:w="1872" w:type="dxa"/>
            <w:tcMar>
              <w:top w:w="60" w:type="dxa"/>
              <w:left w:w="80" w:type="dxa"/>
              <w:bottom w:w="60" w:type="dxa"/>
              <w:right w:w="80" w:type="dxa"/>
            </w:tcMar>
          </w:tcPr>
          <w:p w14:paraId="62F87851" w14:textId="77777777" w:rsidR="00B3345D" w:rsidRDefault="00000000">
            <w:pPr>
              <w:pStyle w:val="ExhibitTableBody"/>
            </w:pPr>
            <w:r>
              <w:t>28%</w:t>
            </w:r>
          </w:p>
        </w:tc>
        <w:tc>
          <w:tcPr>
            <w:tcW w:w="1872" w:type="dxa"/>
            <w:tcMar>
              <w:top w:w="60" w:type="dxa"/>
              <w:left w:w="80" w:type="dxa"/>
              <w:bottom w:w="60" w:type="dxa"/>
              <w:right w:w="80" w:type="dxa"/>
            </w:tcMar>
          </w:tcPr>
          <w:p w14:paraId="712CA0CD" w14:textId="77777777" w:rsidR="00B3345D" w:rsidRDefault="00000000">
            <w:pPr>
              <w:pStyle w:val="ExhibitTableBody"/>
            </w:pPr>
            <w:r>
              <w:t>25%</w:t>
            </w:r>
          </w:p>
        </w:tc>
      </w:tr>
      <w:tr w:rsidR="00B3345D" w14:paraId="394473AC" w14:textId="77777777">
        <w:tc>
          <w:tcPr>
            <w:tcW w:w="3528" w:type="dxa"/>
            <w:tcMar>
              <w:top w:w="60" w:type="dxa"/>
              <w:left w:w="80" w:type="dxa"/>
              <w:bottom w:w="60" w:type="dxa"/>
              <w:right w:w="80" w:type="dxa"/>
            </w:tcMar>
          </w:tcPr>
          <w:p w14:paraId="2420A66E" w14:textId="77777777" w:rsidR="00B3345D" w:rsidRDefault="00000000">
            <w:pPr>
              <w:pStyle w:val="ExhibitTableBody"/>
            </w:pPr>
            <w:r>
              <w:t>Discontinued study treatment</w:t>
            </w:r>
          </w:p>
        </w:tc>
        <w:tc>
          <w:tcPr>
            <w:tcW w:w="1872" w:type="dxa"/>
            <w:tcMar>
              <w:top w:w="60" w:type="dxa"/>
              <w:left w:w="80" w:type="dxa"/>
              <w:bottom w:w="60" w:type="dxa"/>
              <w:right w:w="80" w:type="dxa"/>
            </w:tcMar>
          </w:tcPr>
          <w:p w14:paraId="139D8528" w14:textId="77777777" w:rsidR="00B3345D" w:rsidRDefault="00000000">
            <w:pPr>
              <w:pStyle w:val="ExhibitTableBody"/>
            </w:pPr>
            <w:r>
              <w:t>8%</w:t>
            </w:r>
          </w:p>
        </w:tc>
        <w:tc>
          <w:tcPr>
            <w:tcW w:w="1872" w:type="dxa"/>
            <w:tcMar>
              <w:top w:w="60" w:type="dxa"/>
              <w:left w:w="80" w:type="dxa"/>
              <w:bottom w:w="60" w:type="dxa"/>
              <w:right w:w="80" w:type="dxa"/>
            </w:tcMar>
          </w:tcPr>
          <w:p w14:paraId="1D0A160B" w14:textId="77777777" w:rsidR="00B3345D" w:rsidRDefault="00000000">
            <w:pPr>
              <w:pStyle w:val="ExhibitTableBody"/>
            </w:pPr>
            <w:r>
              <w:t>11%</w:t>
            </w:r>
          </w:p>
        </w:tc>
        <w:tc>
          <w:tcPr>
            <w:tcW w:w="1872" w:type="dxa"/>
            <w:tcMar>
              <w:top w:w="60" w:type="dxa"/>
              <w:left w:w="80" w:type="dxa"/>
              <w:bottom w:w="60" w:type="dxa"/>
              <w:right w:w="80" w:type="dxa"/>
            </w:tcMar>
          </w:tcPr>
          <w:p w14:paraId="26FC548D" w14:textId="77777777" w:rsidR="00B3345D" w:rsidRDefault="00000000">
            <w:pPr>
              <w:pStyle w:val="ExhibitTableBody"/>
            </w:pPr>
            <w:r>
              <w:t>19%</w:t>
            </w:r>
          </w:p>
        </w:tc>
      </w:tr>
      <w:tr w:rsidR="00B3345D" w14:paraId="1F3DA8A8" w14:textId="77777777">
        <w:tc>
          <w:tcPr>
            <w:tcW w:w="3528" w:type="dxa"/>
            <w:tcMar>
              <w:top w:w="60" w:type="dxa"/>
              <w:left w:w="80" w:type="dxa"/>
              <w:bottom w:w="60" w:type="dxa"/>
              <w:right w:w="80" w:type="dxa"/>
            </w:tcMar>
          </w:tcPr>
          <w:p w14:paraId="12166E25" w14:textId="77777777" w:rsidR="00B3345D" w:rsidRDefault="00000000">
            <w:pPr>
              <w:pStyle w:val="ExhibitTableBody"/>
            </w:pPr>
            <w:r>
              <w:t>Serious adverse events</w:t>
            </w:r>
          </w:p>
        </w:tc>
        <w:tc>
          <w:tcPr>
            <w:tcW w:w="1872" w:type="dxa"/>
            <w:tcMar>
              <w:top w:w="60" w:type="dxa"/>
              <w:left w:w="80" w:type="dxa"/>
              <w:bottom w:w="60" w:type="dxa"/>
              <w:right w:w="80" w:type="dxa"/>
            </w:tcMar>
          </w:tcPr>
          <w:p w14:paraId="018C410F" w14:textId="77777777" w:rsidR="00B3345D" w:rsidRDefault="00000000">
            <w:pPr>
              <w:pStyle w:val="ExhibitTableBody"/>
            </w:pPr>
            <w:r>
              <w:t>7%</w:t>
            </w:r>
          </w:p>
        </w:tc>
        <w:tc>
          <w:tcPr>
            <w:tcW w:w="1872" w:type="dxa"/>
            <w:tcMar>
              <w:top w:w="60" w:type="dxa"/>
              <w:left w:w="80" w:type="dxa"/>
              <w:bottom w:w="60" w:type="dxa"/>
              <w:right w:w="80" w:type="dxa"/>
            </w:tcMar>
          </w:tcPr>
          <w:p w14:paraId="7CA89817" w14:textId="77777777" w:rsidR="00B3345D" w:rsidRDefault="00000000">
            <w:pPr>
              <w:pStyle w:val="ExhibitTableBody"/>
            </w:pPr>
            <w:r>
              <w:t>8%</w:t>
            </w:r>
          </w:p>
        </w:tc>
        <w:tc>
          <w:tcPr>
            <w:tcW w:w="1872" w:type="dxa"/>
            <w:tcMar>
              <w:top w:w="60" w:type="dxa"/>
              <w:left w:w="80" w:type="dxa"/>
              <w:bottom w:w="60" w:type="dxa"/>
              <w:right w:w="80" w:type="dxa"/>
            </w:tcMar>
          </w:tcPr>
          <w:p w14:paraId="6ADF9AAC" w14:textId="77777777" w:rsidR="00B3345D" w:rsidRDefault="00000000">
            <w:pPr>
              <w:pStyle w:val="ExhibitTableBody"/>
            </w:pPr>
            <w:r>
              <w:t>12%</w:t>
            </w:r>
          </w:p>
        </w:tc>
      </w:tr>
      <w:tr w:rsidR="00B3345D" w14:paraId="55E8F934" w14:textId="77777777">
        <w:tc>
          <w:tcPr>
            <w:tcW w:w="3528" w:type="dxa"/>
            <w:tcMar>
              <w:top w:w="60" w:type="dxa"/>
              <w:left w:w="80" w:type="dxa"/>
              <w:bottom w:w="60" w:type="dxa"/>
              <w:right w:w="80" w:type="dxa"/>
            </w:tcMar>
          </w:tcPr>
          <w:p w14:paraId="1B7BE55D" w14:textId="77777777" w:rsidR="00B3345D" w:rsidRDefault="00000000">
            <w:pPr>
              <w:pStyle w:val="ExhibitTableBody"/>
            </w:pPr>
            <w:r>
              <w:t>Average infusion time</w:t>
            </w:r>
          </w:p>
        </w:tc>
        <w:tc>
          <w:tcPr>
            <w:tcW w:w="1872" w:type="dxa"/>
            <w:tcMar>
              <w:top w:w="60" w:type="dxa"/>
              <w:left w:w="80" w:type="dxa"/>
              <w:bottom w:w="60" w:type="dxa"/>
              <w:right w:w="80" w:type="dxa"/>
            </w:tcMar>
          </w:tcPr>
          <w:p w14:paraId="7B1ADA54" w14:textId="77777777" w:rsidR="00B3345D" w:rsidRDefault="00000000">
            <w:pPr>
              <w:pStyle w:val="ExhibitTableBody"/>
            </w:pPr>
            <w:r>
              <w:t>—</w:t>
            </w:r>
          </w:p>
        </w:tc>
        <w:tc>
          <w:tcPr>
            <w:tcW w:w="1872" w:type="dxa"/>
            <w:tcMar>
              <w:top w:w="60" w:type="dxa"/>
              <w:left w:w="80" w:type="dxa"/>
              <w:bottom w:w="60" w:type="dxa"/>
              <w:right w:w="80" w:type="dxa"/>
            </w:tcMar>
          </w:tcPr>
          <w:p w14:paraId="5036B589" w14:textId="77777777" w:rsidR="00B3345D" w:rsidRDefault="00000000">
            <w:pPr>
              <w:pStyle w:val="ExhibitTableBody"/>
            </w:pPr>
            <w:r>
              <w:t>52 minutes</w:t>
            </w:r>
          </w:p>
        </w:tc>
        <w:tc>
          <w:tcPr>
            <w:tcW w:w="1872" w:type="dxa"/>
            <w:tcMar>
              <w:top w:w="60" w:type="dxa"/>
              <w:left w:w="80" w:type="dxa"/>
              <w:bottom w:w="60" w:type="dxa"/>
              <w:right w:w="80" w:type="dxa"/>
            </w:tcMar>
          </w:tcPr>
          <w:p w14:paraId="5DDF2DB2" w14:textId="77777777" w:rsidR="00B3345D" w:rsidRDefault="00000000">
            <w:pPr>
              <w:pStyle w:val="ExhibitTableBody"/>
            </w:pPr>
            <w:r>
              <w:t>54 minutes</w:t>
            </w:r>
          </w:p>
        </w:tc>
      </w:tr>
    </w:tbl>
    <w:p w14:paraId="65AD1D2D" w14:textId="77777777" w:rsidR="00B3345D" w:rsidRDefault="00000000">
      <w:r>
        <w:t>The independent safety committee had not recommended stopping the study. It did, however, request closer monitoring of liver enzymes and infusion reactions. Seven high-dose patients had experienced temporary laboratory abnormalities, and two had been hospitalized after severe reactions. Investigators disagreed about whether the events reflected the drug, the patients’ underlying disease, or the interaction with other medications.</w:t>
      </w:r>
    </w:p>
    <w:p w14:paraId="3D4526A8" w14:textId="77777777" w:rsidR="00B3345D" w:rsidRDefault="00000000">
      <w:pPr>
        <w:pStyle w:val="Heading1"/>
      </w:pPr>
      <w:r>
        <w:t>The Recruitment Problem</w:t>
      </w:r>
    </w:p>
    <w:p w14:paraId="20E8D6AC" w14:textId="77777777" w:rsidR="00B3345D" w:rsidRDefault="00000000">
      <w:r>
        <w:t>The original plan assumed that each active site would enroll 0.55 patients per month. The actual rate was 0.31. Some hospitals screened many patients but enrolled few because the eligibility rules excluded people with kidney disease, recent infections, unstable background medication, or disease that was either too mild or too advanced. Community pulmonologists were reluctant to refer patients to academic centers, fearing that they would lose the long-term relationship. Patients faced repeated travel, invasive testing, and a one-in-three chance of receiving placebo.</w:t>
      </w:r>
    </w:p>
    <w:p w14:paraId="1F803D95" w14:textId="77777777" w:rsidR="00B3345D" w:rsidRDefault="00000000">
      <w:r>
        <w:t>Asterion’s clinical operations team proposed opening 28 additional hospital sites and eight dedicated research centers in leased outpatient space. The medical team preferred fewer, more experienced sites. A patient-advocacy group argued for home nursing, transportation assistance, and remote assessments. Each approach changed the expected enrollment rate, the consistency of the data, and the cost of the study.</w:t>
      </w:r>
    </w:p>
    <w:p w14:paraId="15C74058" w14:textId="77777777" w:rsidR="00B3345D" w:rsidRDefault="00000000">
      <w:pPr>
        <w:pStyle w:val="Heading2"/>
      </w:pPr>
      <w:r>
        <w:t>Exhibit 3. Recruitment Funnel and Site Performance</w:t>
      </w:r>
    </w:p>
    <w:tbl>
      <w:tblPr>
        <w:tblStyle w:val="TableGrid"/>
        <w:tblW w:w="0" w:type="auto"/>
        <w:tblLayout w:type="fixed"/>
        <w:tblLook w:val="04A0" w:firstRow="1" w:lastRow="0" w:firstColumn="1" w:lastColumn="0" w:noHBand="0" w:noVBand="1"/>
      </w:tblPr>
      <w:tblGrid>
        <w:gridCol w:w="4032"/>
        <w:gridCol w:w="2304"/>
        <w:gridCol w:w="2520"/>
      </w:tblGrid>
      <w:tr w:rsidR="00B3345D" w14:paraId="655205BA" w14:textId="77777777">
        <w:tc>
          <w:tcPr>
            <w:tcW w:w="4032" w:type="dxa"/>
            <w:shd w:val="clear" w:color="auto" w:fill="D9EAF7"/>
            <w:tcMar>
              <w:top w:w="60" w:type="dxa"/>
              <w:left w:w="80" w:type="dxa"/>
              <w:bottom w:w="60" w:type="dxa"/>
              <w:right w:w="80" w:type="dxa"/>
            </w:tcMar>
          </w:tcPr>
          <w:p w14:paraId="17FC20D3" w14:textId="77777777" w:rsidR="00B3345D" w:rsidRDefault="00000000">
            <w:pPr>
              <w:pStyle w:val="ExhibitTableHeader"/>
            </w:pPr>
            <w:r>
              <w:t>Activity</w:t>
            </w:r>
          </w:p>
        </w:tc>
        <w:tc>
          <w:tcPr>
            <w:tcW w:w="2304" w:type="dxa"/>
            <w:shd w:val="clear" w:color="auto" w:fill="D9EAF7"/>
            <w:tcMar>
              <w:top w:w="60" w:type="dxa"/>
              <w:left w:w="80" w:type="dxa"/>
              <w:bottom w:w="60" w:type="dxa"/>
              <w:right w:w="80" w:type="dxa"/>
            </w:tcMar>
          </w:tcPr>
          <w:p w14:paraId="3E84029D" w14:textId="77777777" w:rsidR="00B3345D" w:rsidRDefault="00000000">
            <w:pPr>
              <w:pStyle w:val="ExhibitTableHeader"/>
            </w:pPr>
            <w:r>
              <w:t>Since launch</w:t>
            </w:r>
          </w:p>
        </w:tc>
        <w:tc>
          <w:tcPr>
            <w:tcW w:w="2520" w:type="dxa"/>
            <w:shd w:val="clear" w:color="auto" w:fill="D9EAF7"/>
            <w:tcMar>
              <w:top w:w="60" w:type="dxa"/>
              <w:left w:w="80" w:type="dxa"/>
              <w:bottom w:w="60" w:type="dxa"/>
              <w:right w:w="80" w:type="dxa"/>
            </w:tcMar>
          </w:tcPr>
          <w:p w14:paraId="69651135" w14:textId="77777777" w:rsidR="00B3345D" w:rsidRDefault="00000000">
            <w:pPr>
              <w:pStyle w:val="ExhibitTableHeader"/>
            </w:pPr>
            <w:r>
              <w:t>Percent of prior step</w:t>
            </w:r>
          </w:p>
        </w:tc>
      </w:tr>
      <w:tr w:rsidR="00B3345D" w14:paraId="586A9F73" w14:textId="77777777">
        <w:tc>
          <w:tcPr>
            <w:tcW w:w="4032" w:type="dxa"/>
            <w:tcMar>
              <w:top w:w="60" w:type="dxa"/>
              <w:left w:w="80" w:type="dxa"/>
              <w:bottom w:w="60" w:type="dxa"/>
              <w:right w:w="80" w:type="dxa"/>
            </w:tcMar>
          </w:tcPr>
          <w:p w14:paraId="16B2AADB" w14:textId="77777777" w:rsidR="00B3345D" w:rsidRDefault="00000000">
            <w:pPr>
              <w:pStyle w:val="ExhibitTableBody"/>
            </w:pPr>
            <w:r>
              <w:t>Patient records preliminarily identified</w:t>
            </w:r>
          </w:p>
        </w:tc>
        <w:tc>
          <w:tcPr>
            <w:tcW w:w="2304" w:type="dxa"/>
            <w:tcMar>
              <w:top w:w="60" w:type="dxa"/>
              <w:left w:w="80" w:type="dxa"/>
              <w:bottom w:w="60" w:type="dxa"/>
              <w:right w:w="80" w:type="dxa"/>
            </w:tcMar>
          </w:tcPr>
          <w:p w14:paraId="5F5157D1" w14:textId="77777777" w:rsidR="00B3345D" w:rsidRDefault="00000000">
            <w:pPr>
              <w:pStyle w:val="ExhibitTableBody"/>
            </w:pPr>
            <w:r>
              <w:t>4,860</w:t>
            </w:r>
          </w:p>
        </w:tc>
        <w:tc>
          <w:tcPr>
            <w:tcW w:w="2520" w:type="dxa"/>
            <w:tcMar>
              <w:top w:w="60" w:type="dxa"/>
              <w:left w:w="80" w:type="dxa"/>
              <w:bottom w:w="60" w:type="dxa"/>
              <w:right w:w="80" w:type="dxa"/>
            </w:tcMar>
          </w:tcPr>
          <w:p w14:paraId="4EA2D8F9" w14:textId="77777777" w:rsidR="00B3345D" w:rsidRDefault="00000000">
            <w:pPr>
              <w:pStyle w:val="ExhibitTableBody"/>
            </w:pPr>
            <w:r>
              <w:t>—</w:t>
            </w:r>
          </w:p>
        </w:tc>
      </w:tr>
      <w:tr w:rsidR="00B3345D" w14:paraId="4A4F6AB9" w14:textId="77777777">
        <w:tc>
          <w:tcPr>
            <w:tcW w:w="4032" w:type="dxa"/>
            <w:tcMar>
              <w:top w:w="60" w:type="dxa"/>
              <w:left w:w="80" w:type="dxa"/>
              <w:bottom w:w="60" w:type="dxa"/>
              <w:right w:w="80" w:type="dxa"/>
            </w:tcMar>
          </w:tcPr>
          <w:p w14:paraId="0D73D433" w14:textId="77777777" w:rsidR="00B3345D" w:rsidRDefault="00000000">
            <w:pPr>
              <w:pStyle w:val="ExhibitTableBody"/>
            </w:pPr>
            <w:r>
              <w:t>Patients contacted or referred</w:t>
            </w:r>
          </w:p>
        </w:tc>
        <w:tc>
          <w:tcPr>
            <w:tcW w:w="2304" w:type="dxa"/>
            <w:tcMar>
              <w:top w:w="60" w:type="dxa"/>
              <w:left w:w="80" w:type="dxa"/>
              <w:bottom w:w="60" w:type="dxa"/>
              <w:right w:w="80" w:type="dxa"/>
            </w:tcMar>
          </w:tcPr>
          <w:p w14:paraId="2FA05EB4" w14:textId="77777777" w:rsidR="00B3345D" w:rsidRDefault="00000000">
            <w:pPr>
              <w:pStyle w:val="ExhibitTableBody"/>
            </w:pPr>
            <w:r>
              <w:t>1,940</w:t>
            </w:r>
          </w:p>
        </w:tc>
        <w:tc>
          <w:tcPr>
            <w:tcW w:w="2520" w:type="dxa"/>
            <w:tcMar>
              <w:top w:w="60" w:type="dxa"/>
              <w:left w:w="80" w:type="dxa"/>
              <w:bottom w:w="60" w:type="dxa"/>
              <w:right w:w="80" w:type="dxa"/>
            </w:tcMar>
          </w:tcPr>
          <w:p w14:paraId="365DDF61" w14:textId="77777777" w:rsidR="00B3345D" w:rsidRDefault="00000000">
            <w:pPr>
              <w:pStyle w:val="ExhibitTableBody"/>
            </w:pPr>
            <w:r>
              <w:t>40%</w:t>
            </w:r>
          </w:p>
        </w:tc>
      </w:tr>
      <w:tr w:rsidR="00B3345D" w14:paraId="04ACD9E8" w14:textId="77777777">
        <w:tc>
          <w:tcPr>
            <w:tcW w:w="4032" w:type="dxa"/>
            <w:tcMar>
              <w:top w:w="60" w:type="dxa"/>
              <w:left w:w="80" w:type="dxa"/>
              <w:bottom w:w="60" w:type="dxa"/>
              <w:right w:w="80" w:type="dxa"/>
            </w:tcMar>
          </w:tcPr>
          <w:p w14:paraId="63BE16EB" w14:textId="77777777" w:rsidR="00B3345D" w:rsidRDefault="00000000">
            <w:pPr>
              <w:pStyle w:val="ExhibitTableBody"/>
            </w:pPr>
            <w:r>
              <w:t>Patients consenting to screening</w:t>
            </w:r>
          </w:p>
        </w:tc>
        <w:tc>
          <w:tcPr>
            <w:tcW w:w="2304" w:type="dxa"/>
            <w:tcMar>
              <w:top w:w="60" w:type="dxa"/>
              <w:left w:w="80" w:type="dxa"/>
              <w:bottom w:w="60" w:type="dxa"/>
              <w:right w:w="80" w:type="dxa"/>
            </w:tcMar>
          </w:tcPr>
          <w:p w14:paraId="0E821BCD" w14:textId="77777777" w:rsidR="00B3345D" w:rsidRDefault="00000000">
            <w:pPr>
              <w:pStyle w:val="ExhibitTableBody"/>
            </w:pPr>
            <w:r>
              <w:t>612</w:t>
            </w:r>
          </w:p>
        </w:tc>
        <w:tc>
          <w:tcPr>
            <w:tcW w:w="2520" w:type="dxa"/>
            <w:tcMar>
              <w:top w:w="60" w:type="dxa"/>
              <w:left w:w="80" w:type="dxa"/>
              <w:bottom w:w="60" w:type="dxa"/>
              <w:right w:w="80" w:type="dxa"/>
            </w:tcMar>
          </w:tcPr>
          <w:p w14:paraId="30714690" w14:textId="77777777" w:rsidR="00B3345D" w:rsidRDefault="00000000">
            <w:pPr>
              <w:pStyle w:val="ExhibitTableBody"/>
            </w:pPr>
            <w:r>
              <w:t>32%</w:t>
            </w:r>
          </w:p>
        </w:tc>
      </w:tr>
      <w:tr w:rsidR="00B3345D" w14:paraId="77915E56" w14:textId="77777777">
        <w:tc>
          <w:tcPr>
            <w:tcW w:w="4032" w:type="dxa"/>
            <w:tcMar>
              <w:top w:w="60" w:type="dxa"/>
              <w:left w:w="80" w:type="dxa"/>
              <w:bottom w:w="60" w:type="dxa"/>
              <w:right w:w="80" w:type="dxa"/>
            </w:tcMar>
          </w:tcPr>
          <w:p w14:paraId="763059B7" w14:textId="77777777" w:rsidR="00B3345D" w:rsidRDefault="00000000">
            <w:pPr>
              <w:pStyle w:val="ExhibitTableBody"/>
            </w:pPr>
            <w:r>
              <w:t>Patients meeting eligibility criteria</w:t>
            </w:r>
          </w:p>
        </w:tc>
        <w:tc>
          <w:tcPr>
            <w:tcW w:w="2304" w:type="dxa"/>
            <w:tcMar>
              <w:top w:w="60" w:type="dxa"/>
              <w:left w:w="80" w:type="dxa"/>
              <w:bottom w:w="60" w:type="dxa"/>
              <w:right w:w="80" w:type="dxa"/>
            </w:tcMar>
          </w:tcPr>
          <w:p w14:paraId="37EEC9C7" w14:textId="77777777" w:rsidR="00B3345D" w:rsidRDefault="00000000">
            <w:pPr>
              <w:pStyle w:val="ExhibitTableBody"/>
            </w:pPr>
            <w:r>
              <w:t>274</w:t>
            </w:r>
          </w:p>
        </w:tc>
        <w:tc>
          <w:tcPr>
            <w:tcW w:w="2520" w:type="dxa"/>
            <w:tcMar>
              <w:top w:w="60" w:type="dxa"/>
              <w:left w:w="80" w:type="dxa"/>
              <w:bottom w:w="60" w:type="dxa"/>
              <w:right w:w="80" w:type="dxa"/>
            </w:tcMar>
          </w:tcPr>
          <w:p w14:paraId="5EBF9A5A" w14:textId="77777777" w:rsidR="00B3345D" w:rsidRDefault="00000000">
            <w:pPr>
              <w:pStyle w:val="ExhibitTableBody"/>
            </w:pPr>
            <w:r>
              <w:t>45%</w:t>
            </w:r>
          </w:p>
        </w:tc>
      </w:tr>
      <w:tr w:rsidR="00B3345D" w14:paraId="56DADFD0" w14:textId="77777777">
        <w:tc>
          <w:tcPr>
            <w:tcW w:w="4032" w:type="dxa"/>
            <w:tcMar>
              <w:top w:w="60" w:type="dxa"/>
              <w:left w:w="80" w:type="dxa"/>
              <w:bottom w:w="60" w:type="dxa"/>
              <w:right w:w="80" w:type="dxa"/>
            </w:tcMar>
          </w:tcPr>
          <w:p w14:paraId="1EDCFBCF" w14:textId="77777777" w:rsidR="00B3345D" w:rsidRDefault="00000000">
            <w:pPr>
              <w:pStyle w:val="ExhibitTableBody"/>
            </w:pPr>
            <w:r>
              <w:t>Patients randomized</w:t>
            </w:r>
          </w:p>
        </w:tc>
        <w:tc>
          <w:tcPr>
            <w:tcW w:w="2304" w:type="dxa"/>
            <w:tcMar>
              <w:top w:w="60" w:type="dxa"/>
              <w:left w:w="80" w:type="dxa"/>
              <w:bottom w:w="60" w:type="dxa"/>
              <w:right w:w="80" w:type="dxa"/>
            </w:tcMar>
          </w:tcPr>
          <w:p w14:paraId="1EB503B3" w14:textId="77777777" w:rsidR="00B3345D" w:rsidRDefault="00000000">
            <w:pPr>
              <w:pStyle w:val="ExhibitTableBody"/>
            </w:pPr>
            <w:r>
              <w:t>186</w:t>
            </w:r>
          </w:p>
        </w:tc>
        <w:tc>
          <w:tcPr>
            <w:tcW w:w="2520" w:type="dxa"/>
            <w:tcMar>
              <w:top w:w="60" w:type="dxa"/>
              <w:left w:w="80" w:type="dxa"/>
              <w:bottom w:w="60" w:type="dxa"/>
              <w:right w:w="80" w:type="dxa"/>
            </w:tcMar>
          </w:tcPr>
          <w:p w14:paraId="215BB927" w14:textId="77777777" w:rsidR="00B3345D" w:rsidRDefault="00000000">
            <w:pPr>
              <w:pStyle w:val="ExhibitTableBody"/>
            </w:pPr>
            <w:r>
              <w:t>68%</w:t>
            </w:r>
          </w:p>
        </w:tc>
      </w:tr>
      <w:tr w:rsidR="00B3345D" w14:paraId="30EBF1E9" w14:textId="77777777">
        <w:tc>
          <w:tcPr>
            <w:tcW w:w="4032" w:type="dxa"/>
            <w:tcMar>
              <w:top w:w="60" w:type="dxa"/>
              <w:left w:w="80" w:type="dxa"/>
              <w:bottom w:w="60" w:type="dxa"/>
              <w:right w:w="80" w:type="dxa"/>
            </w:tcMar>
          </w:tcPr>
          <w:p w14:paraId="25C915D1" w14:textId="77777777" w:rsidR="00B3345D" w:rsidRDefault="00000000">
            <w:pPr>
              <w:pStyle w:val="ExhibitTableBody"/>
            </w:pPr>
            <w:r>
              <w:t>Patients completing 24 weeks</w:t>
            </w:r>
          </w:p>
        </w:tc>
        <w:tc>
          <w:tcPr>
            <w:tcW w:w="2304" w:type="dxa"/>
            <w:tcMar>
              <w:top w:w="60" w:type="dxa"/>
              <w:left w:w="80" w:type="dxa"/>
              <w:bottom w:w="60" w:type="dxa"/>
              <w:right w:w="80" w:type="dxa"/>
            </w:tcMar>
          </w:tcPr>
          <w:p w14:paraId="2E56B1F1" w14:textId="77777777" w:rsidR="00B3345D" w:rsidRDefault="00000000">
            <w:pPr>
              <w:pStyle w:val="ExhibitTableBody"/>
            </w:pPr>
            <w:r>
              <w:t>151</w:t>
            </w:r>
          </w:p>
        </w:tc>
        <w:tc>
          <w:tcPr>
            <w:tcW w:w="2520" w:type="dxa"/>
            <w:tcMar>
              <w:top w:w="60" w:type="dxa"/>
              <w:left w:w="80" w:type="dxa"/>
              <w:bottom w:w="60" w:type="dxa"/>
              <w:right w:w="80" w:type="dxa"/>
            </w:tcMar>
          </w:tcPr>
          <w:p w14:paraId="4EF53B2C" w14:textId="77777777" w:rsidR="00B3345D" w:rsidRDefault="00000000">
            <w:pPr>
              <w:pStyle w:val="ExhibitTableBody"/>
            </w:pPr>
            <w:r>
              <w:t>81% of randomized</w:t>
            </w:r>
          </w:p>
        </w:tc>
      </w:tr>
    </w:tbl>
    <w:p w14:paraId="66AC32D6" w14:textId="77777777" w:rsidR="00B3345D" w:rsidRDefault="00000000">
      <w:r>
        <w:t>The company’s site-level data were equally uneven. Six sites had enrolled no patients, while four large centers accounted for 38 percent of the trial. Expanding the network could increase access, but new sites would require contracts, ethics review, training, drug shipments, laboratory certification, and monitoring before the first patient could enter.</w:t>
      </w:r>
    </w:p>
    <w:p w14:paraId="7727289C" w14:textId="77777777" w:rsidR="00B3345D" w:rsidRDefault="00000000">
      <w:pPr>
        <w:pStyle w:val="Heading1"/>
      </w:pPr>
      <w:r>
        <w:lastRenderedPageBreak/>
        <w:t>Four Paths Forward</w:t>
      </w:r>
    </w:p>
    <w:p w14:paraId="344DE5F4" w14:textId="77777777" w:rsidR="00B3345D" w:rsidRDefault="00000000">
      <w:r>
        <w:t>Chen’s team developed four broad paths. The first was to complete the existing Phase IIb study without major changes, using the remaining patients to clarify the dose and safety pattern. This was the least expensive near-term choice, but it would postpone the pivotal decision by approximately nine months.</w:t>
      </w:r>
    </w:p>
    <w:p w14:paraId="2B7B9018" w14:textId="77777777" w:rsidR="00B3345D" w:rsidRDefault="00000000">
      <w:r>
        <w:t>The second path was to begin a large Phase III program immediately using the low dose and a broad patient population. Speed could preserve patent life and manufacturing capacity, but Asterion would commit substantial capital before the final Phase IIb results were available.</w:t>
      </w:r>
    </w:p>
    <w:p w14:paraId="3E53A303" w14:textId="77777777" w:rsidR="00B3345D" w:rsidRDefault="00000000">
      <w:r>
        <w:t>The third path was an adaptive pivotal trial that could alter enrollment among pre-specified patient groups after an interim review. The design might learn while progressing, but it would be more complex to explain to investigators, regulators, and investors. Statistical errors or operational inconsistency could undermine the value of the flexibility.</w:t>
      </w:r>
    </w:p>
    <w:p w14:paraId="29A19012" w14:textId="77777777" w:rsidR="00B3345D" w:rsidRDefault="00000000">
      <w:r>
        <w:t>The fourth path was a smaller confirmatory study focused on recently diagnosed patients, paired with a search for a pharmaceutical partner. This could reduce Asterion’s financial exposure, but a partner might demand control, delay the program during due diligence, or value the asset less after seeing the ambiguous high-dose safety data.</w:t>
      </w:r>
    </w:p>
    <w:p w14:paraId="3620BE2F" w14:textId="77777777" w:rsidR="00B3345D" w:rsidRDefault="00000000">
      <w:pPr>
        <w:pStyle w:val="Heading2"/>
      </w:pPr>
      <w:r>
        <w:t>Exhibit 4. Development Alternatives Presented to the Board</w:t>
      </w:r>
    </w:p>
    <w:tbl>
      <w:tblPr>
        <w:tblStyle w:val="TableGrid"/>
        <w:tblW w:w="0" w:type="auto"/>
        <w:tblLayout w:type="fixed"/>
        <w:tblLook w:val="04A0" w:firstRow="1" w:lastRow="0" w:firstColumn="1" w:lastColumn="0" w:noHBand="0" w:noVBand="1"/>
      </w:tblPr>
      <w:tblGrid>
        <w:gridCol w:w="2952"/>
        <w:gridCol w:w="2448"/>
        <w:gridCol w:w="2232"/>
        <w:gridCol w:w="2880"/>
      </w:tblGrid>
      <w:tr w:rsidR="00B3345D" w14:paraId="0D91E383" w14:textId="77777777">
        <w:tc>
          <w:tcPr>
            <w:tcW w:w="2952" w:type="dxa"/>
            <w:shd w:val="clear" w:color="auto" w:fill="D9EAF7"/>
            <w:tcMar>
              <w:top w:w="60" w:type="dxa"/>
              <w:left w:w="80" w:type="dxa"/>
              <w:bottom w:w="60" w:type="dxa"/>
              <w:right w:w="80" w:type="dxa"/>
            </w:tcMar>
          </w:tcPr>
          <w:p w14:paraId="212CDB08" w14:textId="77777777" w:rsidR="00B3345D" w:rsidRDefault="00000000">
            <w:pPr>
              <w:pStyle w:val="ExhibitTableHeader"/>
            </w:pPr>
            <w:r>
              <w:t>Alternative</w:t>
            </w:r>
          </w:p>
        </w:tc>
        <w:tc>
          <w:tcPr>
            <w:tcW w:w="2448" w:type="dxa"/>
            <w:shd w:val="clear" w:color="auto" w:fill="D9EAF7"/>
            <w:tcMar>
              <w:top w:w="60" w:type="dxa"/>
              <w:left w:w="80" w:type="dxa"/>
              <w:bottom w:w="60" w:type="dxa"/>
              <w:right w:w="80" w:type="dxa"/>
            </w:tcMar>
          </w:tcPr>
          <w:p w14:paraId="50DB8019" w14:textId="77777777" w:rsidR="00B3345D" w:rsidRDefault="00000000">
            <w:pPr>
              <w:pStyle w:val="ExhibitTableHeader"/>
            </w:pPr>
            <w:r>
              <w:t>Additional cost before next major decision</w:t>
            </w:r>
          </w:p>
        </w:tc>
        <w:tc>
          <w:tcPr>
            <w:tcW w:w="2232" w:type="dxa"/>
            <w:shd w:val="clear" w:color="auto" w:fill="D9EAF7"/>
            <w:tcMar>
              <w:top w:w="60" w:type="dxa"/>
              <w:left w:w="80" w:type="dxa"/>
              <w:bottom w:w="60" w:type="dxa"/>
              <w:right w:w="80" w:type="dxa"/>
            </w:tcMar>
          </w:tcPr>
          <w:p w14:paraId="0FCE0FC8" w14:textId="77777777" w:rsidR="00B3345D" w:rsidRDefault="00000000">
            <w:pPr>
              <w:pStyle w:val="ExhibitTableHeader"/>
            </w:pPr>
            <w:r>
              <w:t>Time to next major decision</w:t>
            </w:r>
          </w:p>
        </w:tc>
        <w:tc>
          <w:tcPr>
            <w:tcW w:w="2880" w:type="dxa"/>
            <w:shd w:val="clear" w:color="auto" w:fill="D9EAF7"/>
            <w:tcMar>
              <w:top w:w="60" w:type="dxa"/>
              <w:left w:w="80" w:type="dxa"/>
              <w:bottom w:w="60" w:type="dxa"/>
              <w:right w:w="80" w:type="dxa"/>
            </w:tcMar>
          </w:tcPr>
          <w:p w14:paraId="6F40372E" w14:textId="77777777" w:rsidR="00B3345D" w:rsidRDefault="00000000">
            <w:pPr>
              <w:pStyle w:val="ExhibitTableHeader"/>
            </w:pPr>
            <w:r>
              <w:t>Selected exposure</w:t>
            </w:r>
          </w:p>
        </w:tc>
      </w:tr>
      <w:tr w:rsidR="00B3345D" w14:paraId="42B45B63" w14:textId="77777777">
        <w:tc>
          <w:tcPr>
            <w:tcW w:w="2952" w:type="dxa"/>
            <w:tcMar>
              <w:top w:w="60" w:type="dxa"/>
              <w:left w:w="80" w:type="dxa"/>
              <w:bottom w:w="60" w:type="dxa"/>
              <w:right w:w="80" w:type="dxa"/>
            </w:tcMar>
          </w:tcPr>
          <w:p w14:paraId="30D1DF8C" w14:textId="77777777" w:rsidR="00B3345D" w:rsidRDefault="00000000">
            <w:pPr>
              <w:pStyle w:val="ExhibitTableBody"/>
            </w:pPr>
            <w:r>
              <w:t>Finish Phase IIb as planned</w:t>
            </w:r>
          </w:p>
        </w:tc>
        <w:tc>
          <w:tcPr>
            <w:tcW w:w="2448" w:type="dxa"/>
            <w:tcMar>
              <w:top w:w="60" w:type="dxa"/>
              <w:left w:w="80" w:type="dxa"/>
              <w:bottom w:w="60" w:type="dxa"/>
              <w:right w:w="80" w:type="dxa"/>
            </w:tcMar>
          </w:tcPr>
          <w:p w14:paraId="7E79D838" w14:textId="77777777" w:rsidR="00B3345D" w:rsidRDefault="00000000">
            <w:pPr>
              <w:pStyle w:val="ExhibitTableBody"/>
            </w:pPr>
            <w:r>
              <w:t>$38 million</w:t>
            </w:r>
          </w:p>
        </w:tc>
        <w:tc>
          <w:tcPr>
            <w:tcW w:w="2232" w:type="dxa"/>
            <w:tcMar>
              <w:top w:w="60" w:type="dxa"/>
              <w:left w:w="80" w:type="dxa"/>
              <w:bottom w:w="60" w:type="dxa"/>
              <w:right w:w="80" w:type="dxa"/>
            </w:tcMar>
          </w:tcPr>
          <w:p w14:paraId="2368DECC" w14:textId="77777777" w:rsidR="00B3345D" w:rsidRDefault="00000000">
            <w:pPr>
              <w:pStyle w:val="ExhibitTableBody"/>
            </w:pPr>
            <w:r>
              <w:t>9 months</w:t>
            </w:r>
          </w:p>
        </w:tc>
        <w:tc>
          <w:tcPr>
            <w:tcW w:w="2880" w:type="dxa"/>
            <w:tcMar>
              <w:top w:w="60" w:type="dxa"/>
              <w:left w:w="80" w:type="dxa"/>
              <w:bottom w:w="60" w:type="dxa"/>
              <w:right w:w="80" w:type="dxa"/>
            </w:tcMar>
          </w:tcPr>
          <w:p w14:paraId="0937F4BB" w14:textId="77777777" w:rsidR="00B3345D" w:rsidRDefault="00000000">
            <w:pPr>
              <w:pStyle w:val="ExhibitTableBody"/>
            </w:pPr>
            <w:r>
              <w:t>Competitor and patent delay</w:t>
            </w:r>
          </w:p>
        </w:tc>
      </w:tr>
      <w:tr w:rsidR="00B3345D" w14:paraId="16875C9C" w14:textId="77777777">
        <w:tc>
          <w:tcPr>
            <w:tcW w:w="2952" w:type="dxa"/>
            <w:tcMar>
              <w:top w:w="60" w:type="dxa"/>
              <w:left w:w="80" w:type="dxa"/>
              <w:bottom w:w="60" w:type="dxa"/>
              <w:right w:w="80" w:type="dxa"/>
            </w:tcMar>
          </w:tcPr>
          <w:p w14:paraId="1C22BA50" w14:textId="77777777" w:rsidR="00B3345D" w:rsidRDefault="00000000">
            <w:pPr>
              <w:pStyle w:val="ExhibitTableBody"/>
            </w:pPr>
            <w:r>
              <w:t>Launch broad Phase III</w:t>
            </w:r>
          </w:p>
        </w:tc>
        <w:tc>
          <w:tcPr>
            <w:tcW w:w="2448" w:type="dxa"/>
            <w:tcMar>
              <w:top w:w="60" w:type="dxa"/>
              <w:left w:w="80" w:type="dxa"/>
              <w:bottom w:w="60" w:type="dxa"/>
              <w:right w:w="80" w:type="dxa"/>
            </w:tcMar>
          </w:tcPr>
          <w:p w14:paraId="7B523E44" w14:textId="77777777" w:rsidR="00B3345D" w:rsidRDefault="00000000">
            <w:pPr>
              <w:pStyle w:val="ExhibitTableBody"/>
            </w:pPr>
            <w:r>
              <w:t>$286 million</w:t>
            </w:r>
          </w:p>
        </w:tc>
        <w:tc>
          <w:tcPr>
            <w:tcW w:w="2232" w:type="dxa"/>
            <w:tcMar>
              <w:top w:w="60" w:type="dxa"/>
              <w:left w:w="80" w:type="dxa"/>
              <w:bottom w:w="60" w:type="dxa"/>
              <w:right w:w="80" w:type="dxa"/>
            </w:tcMar>
          </w:tcPr>
          <w:p w14:paraId="1D2BA12E" w14:textId="77777777" w:rsidR="00B3345D" w:rsidRDefault="00000000">
            <w:pPr>
              <w:pStyle w:val="ExhibitTableBody"/>
            </w:pPr>
            <w:r>
              <w:t>30–38 months</w:t>
            </w:r>
          </w:p>
        </w:tc>
        <w:tc>
          <w:tcPr>
            <w:tcW w:w="2880" w:type="dxa"/>
            <w:tcMar>
              <w:top w:w="60" w:type="dxa"/>
              <w:left w:w="80" w:type="dxa"/>
              <w:bottom w:w="60" w:type="dxa"/>
              <w:right w:w="80" w:type="dxa"/>
            </w:tcMar>
          </w:tcPr>
          <w:p w14:paraId="2DD31989" w14:textId="77777777" w:rsidR="00B3345D" w:rsidRDefault="00000000">
            <w:pPr>
              <w:pStyle w:val="ExhibitTableBody"/>
            </w:pPr>
            <w:r>
              <w:t>Large commitment with incomplete evidence</w:t>
            </w:r>
          </w:p>
        </w:tc>
      </w:tr>
      <w:tr w:rsidR="00B3345D" w14:paraId="4B4AA2E4" w14:textId="77777777">
        <w:tc>
          <w:tcPr>
            <w:tcW w:w="2952" w:type="dxa"/>
            <w:tcMar>
              <w:top w:w="60" w:type="dxa"/>
              <w:left w:w="80" w:type="dxa"/>
              <w:bottom w:w="60" w:type="dxa"/>
              <w:right w:w="80" w:type="dxa"/>
            </w:tcMar>
          </w:tcPr>
          <w:p w14:paraId="61F89D38" w14:textId="77777777" w:rsidR="00B3345D" w:rsidRDefault="00000000">
            <w:pPr>
              <w:pStyle w:val="ExhibitTableBody"/>
            </w:pPr>
            <w:r>
              <w:t>Adaptive pivotal program</w:t>
            </w:r>
          </w:p>
        </w:tc>
        <w:tc>
          <w:tcPr>
            <w:tcW w:w="2448" w:type="dxa"/>
            <w:tcMar>
              <w:top w:w="60" w:type="dxa"/>
              <w:left w:w="80" w:type="dxa"/>
              <w:bottom w:w="60" w:type="dxa"/>
              <w:right w:w="80" w:type="dxa"/>
            </w:tcMar>
          </w:tcPr>
          <w:p w14:paraId="19B4514D" w14:textId="77777777" w:rsidR="00B3345D" w:rsidRDefault="00000000">
            <w:pPr>
              <w:pStyle w:val="ExhibitTableBody"/>
            </w:pPr>
            <w:r>
              <w:t>$244 million</w:t>
            </w:r>
          </w:p>
        </w:tc>
        <w:tc>
          <w:tcPr>
            <w:tcW w:w="2232" w:type="dxa"/>
            <w:tcMar>
              <w:top w:w="60" w:type="dxa"/>
              <w:left w:w="80" w:type="dxa"/>
              <w:bottom w:w="60" w:type="dxa"/>
              <w:right w:w="80" w:type="dxa"/>
            </w:tcMar>
          </w:tcPr>
          <w:p w14:paraId="359FB64A" w14:textId="77777777" w:rsidR="00B3345D" w:rsidRDefault="00000000">
            <w:pPr>
              <w:pStyle w:val="ExhibitTableBody"/>
            </w:pPr>
            <w:r>
              <w:t>24–34 months</w:t>
            </w:r>
          </w:p>
        </w:tc>
        <w:tc>
          <w:tcPr>
            <w:tcW w:w="2880" w:type="dxa"/>
            <w:tcMar>
              <w:top w:w="60" w:type="dxa"/>
              <w:left w:w="80" w:type="dxa"/>
              <w:bottom w:w="60" w:type="dxa"/>
              <w:right w:w="80" w:type="dxa"/>
            </w:tcMar>
          </w:tcPr>
          <w:p w14:paraId="4B20FB04" w14:textId="77777777" w:rsidR="00B3345D" w:rsidRDefault="00000000">
            <w:pPr>
              <w:pStyle w:val="ExhibitTableBody"/>
            </w:pPr>
            <w:r>
              <w:t>Design and regulatory complexity</w:t>
            </w:r>
          </w:p>
        </w:tc>
      </w:tr>
      <w:tr w:rsidR="00B3345D" w14:paraId="7DCF5FC3" w14:textId="77777777">
        <w:tc>
          <w:tcPr>
            <w:tcW w:w="2952" w:type="dxa"/>
            <w:tcMar>
              <w:top w:w="60" w:type="dxa"/>
              <w:left w:w="80" w:type="dxa"/>
              <w:bottom w:w="60" w:type="dxa"/>
              <w:right w:w="80" w:type="dxa"/>
            </w:tcMar>
          </w:tcPr>
          <w:p w14:paraId="0957E7E3" w14:textId="77777777" w:rsidR="00B3345D" w:rsidRDefault="00000000">
            <w:pPr>
              <w:pStyle w:val="ExhibitTableBody"/>
            </w:pPr>
            <w:r>
              <w:t>Focused study plus partner search</w:t>
            </w:r>
          </w:p>
        </w:tc>
        <w:tc>
          <w:tcPr>
            <w:tcW w:w="2448" w:type="dxa"/>
            <w:tcMar>
              <w:top w:w="60" w:type="dxa"/>
              <w:left w:w="80" w:type="dxa"/>
              <w:bottom w:w="60" w:type="dxa"/>
              <w:right w:w="80" w:type="dxa"/>
            </w:tcMar>
          </w:tcPr>
          <w:p w14:paraId="0C67A7E4" w14:textId="77777777" w:rsidR="00B3345D" w:rsidRDefault="00000000">
            <w:pPr>
              <w:pStyle w:val="ExhibitTableBody"/>
            </w:pPr>
            <w:r>
              <w:t>$74 million</w:t>
            </w:r>
          </w:p>
        </w:tc>
        <w:tc>
          <w:tcPr>
            <w:tcW w:w="2232" w:type="dxa"/>
            <w:tcMar>
              <w:top w:w="60" w:type="dxa"/>
              <w:left w:w="80" w:type="dxa"/>
              <w:bottom w:w="60" w:type="dxa"/>
              <w:right w:w="80" w:type="dxa"/>
            </w:tcMar>
          </w:tcPr>
          <w:p w14:paraId="7FA080AF" w14:textId="77777777" w:rsidR="00B3345D" w:rsidRDefault="00000000">
            <w:pPr>
              <w:pStyle w:val="ExhibitTableBody"/>
            </w:pPr>
            <w:r>
              <w:t>12–18 months</w:t>
            </w:r>
          </w:p>
        </w:tc>
        <w:tc>
          <w:tcPr>
            <w:tcW w:w="2880" w:type="dxa"/>
            <w:tcMar>
              <w:top w:w="60" w:type="dxa"/>
              <w:left w:w="80" w:type="dxa"/>
              <w:bottom w:w="60" w:type="dxa"/>
              <w:right w:w="80" w:type="dxa"/>
            </w:tcMar>
          </w:tcPr>
          <w:p w14:paraId="4B75B5E1" w14:textId="77777777" w:rsidR="00B3345D" w:rsidRDefault="00000000">
            <w:pPr>
              <w:pStyle w:val="ExhibitTableBody"/>
            </w:pPr>
            <w:r>
              <w:t>Smaller market; loss of control</w:t>
            </w:r>
          </w:p>
        </w:tc>
      </w:tr>
    </w:tbl>
    <w:p w14:paraId="1799B2AE" w14:textId="77777777" w:rsidR="00B3345D" w:rsidRDefault="00000000">
      <w:pPr>
        <w:pStyle w:val="Heading1"/>
      </w:pPr>
      <w:r>
        <w:t>The Commercial Question</w:t>
      </w:r>
    </w:p>
    <w:p w14:paraId="7E6873FB" w14:textId="77777777" w:rsidR="00B3345D" w:rsidRDefault="00000000">
      <w:r>
        <w:t>Even a successful trial would not settle the business problem. Existing treatments were taken orally, while AST-417 required an infusion every four weeks and refrigerated distribution. Asterion estimated that manufacturing, packaging, cold-chain distribution, and administration support would cost $14,600 per treated patient per year before sales, rebates, patient assistance, and post-approval studies. Physicians interviewed by the company liked the possibility of slower disease progression, but many said they would reserve an infusion for patients who had failed simpler treatments.</w:t>
      </w:r>
    </w:p>
    <w:p w14:paraId="08365BEC" w14:textId="77777777" w:rsidR="00B3345D" w:rsidRDefault="00000000">
      <w:r>
        <w:t>Commercial forecasts ranged from a conservative peak of $420 million in annual sales to more than $1.8 billion. The range depended on the approved patient population, price, physician acceptance, insurer restrictions, competitor results, and whether the therapy reduced hospitalizations rather than merely improving a laboratory measure. Asterion’s finance chief warned that the company could spend hundreds of millions proving a statistically significant effect that the market did not value highly.</w:t>
      </w:r>
    </w:p>
    <w:p w14:paraId="28712A67" w14:textId="77777777" w:rsidR="00B3345D" w:rsidRDefault="00000000">
      <w:pPr>
        <w:pStyle w:val="Heading2"/>
      </w:pPr>
      <w:r>
        <w:t>Exhibit 5. Selected Sources of Commercial Value</w:t>
      </w:r>
    </w:p>
    <w:tbl>
      <w:tblPr>
        <w:tblStyle w:val="TableGrid"/>
        <w:tblW w:w="0" w:type="auto"/>
        <w:tblLayout w:type="fixed"/>
        <w:tblLook w:val="04A0" w:firstRow="1" w:lastRow="0" w:firstColumn="1" w:lastColumn="0" w:noHBand="0" w:noVBand="1"/>
      </w:tblPr>
      <w:tblGrid>
        <w:gridCol w:w="3816"/>
        <w:gridCol w:w="2520"/>
        <w:gridCol w:w="2520"/>
      </w:tblGrid>
      <w:tr w:rsidR="00B3345D" w14:paraId="5FD7BEF7" w14:textId="77777777">
        <w:tc>
          <w:tcPr>
            <w:tcW w:w="3816" w:type="dxa"/>
            <w:shd w:val="clear" w:color="auto" w:fill="D9EAF7"/>
            <w:tcMar>
              <w:top w:w="60" w:type="dxa"/>
              <w:left w:w="80" w:type="dxa"/>
              <w:bottom w:w="60" w:type="dxa"/>
              <w:right w:w="80" w:type="dxa"/>
            </w:tcMar>
          </w:tcPr>
          <w:p w14:paraId="187477B4" w14:textId="77777777" w:rsidR="00B3345D" w:rsidRDefault="00000000">
            <w:pPr>
              <w:pStyle w:val="ExhibitTableHeader"/>
            </w:pPr>
            <w:r>
              <w:t>Assumption</w:t>
            </w:r>
          </w:p>
        </w:tc>
        <w:tc>
          <w:tcPr>
            <w:tcW w:w="2520" w:type="dxa"/>
            <w:shd w:val="clear" w:color="auto" w:fill="D9EAF7"/>
            <w:tcMar>
              <w:top w:w="60" w:type="dxa"/>
              <w:left w:w="80" w:type="dxa"/>
              <w:bottom w:w="60" w:type="dxa"/>
              <w:right w:w="80" w:type="dxa"/>
            </w:tcMar>
          </w:tcPr>
          <w:p w14:paraId="4720F667" w14:textId="77777777" w:rsidR="00B3345D" w:rsidRDefault="00000000">
            <w:pPr>
              <w:pStyle w:val="ExhibitTableHeader"/>
            </w:pPr>
            <w:r>
              <w:t>Conservative case</w:t>
            </w:r>
          </w:p>
        </w:tc>
        <w:tc>
          <w:tcPr>
            <w:tcW w:w="2520" w:type="dxa"/>
            <w:shd w:val="clear" w:color="auto" w:fill="D9EAF7"/>
            <w:tcMar>
              <w:top w:w="60" w:type="dxa"/>
              <w:left w:w="80" w:type="dxa"/>
              <w:bottom w:w="60" w:type="dxa"/>
              <w:right w:w="80" w:type="dxa"/>
            </w:tcMar>
          </w:tcPr>
          <w:p w14:paraId="5699A83B" w14:textId="77777777" w:rsidR="00B3345D" w:rsidRDefault="00000000">
            <w:pPr>
              <w:pStyle w:val="ExhibitTableHeader"/>
            </w:pPr>
            <w:r>
              <w:t>High case</w:t>
            </w:r>
          </w:p>
        </w:tc>
      </w:tr>
      <w:tr w:rsidR="00B3345D" w14:paraId="7E808AC2" w14:textId="77777777">
        <w:tc>
          <w:tcPr>
            <w:tcW w:w="3816" w:type="dxa"/>
            <w:tcMar>
              <w:top w:w="60" w:type="dxa"/>
              <w:left w:w="80" w:type="dxa"/>
              <w:bottom w:w="60" w:type="dxa"/>
              <w:right w:w="80" w:type="dxa"/>
            </w:tcMar>
          </w:tcPr>
          <w:p w14:paraId="72C5FA45" w14:textId="77777777" w:rsidR="00B3345D" w:rsidRDefault="00000000">
            <w:pPr>
              <w:pStyle w:val="ExhibitTableBody"/>
            </w:pPr>
            <w:r>
              <w:t>Addressable U.S. patients</w:t>
            </w:r>
          </w:p>
        </w:tc>
        <w:tc>
          <w:tcPr>
            <w:tcW w:w="2520" w:type="dxa"/>
            <w:tcMar>
              <w:top w:w="60" w:type="dxa"/>
              <w:left w:w="80" w:type="dxa"/>
              <w:bottom w:w="60" w:type="dxa"/>
              <w:right w:w="80" w:type="dxa"/>
            </w:tcMar>
          </w:tcPr>
          <w:p w14:paraId="301F2287" w14:textId="77777777" w:rsidR="00B3345D" w:rsidRDefault="00000000">
            <w:pPr>
              <w:pStyle w:val="ExhibitTableBody"/>
            </w:pPr>
            <w:r>
              <w:t>24,000</w:t>
            </w:r>
          </w:p>
        </w:tc>
        <w:tc>
          <w:tcPr>
            <w:tcW w:w="2520" w:type="dxa"/>
            <w:tcMar>
              <w:top w:w="60" w:type="dxa"/>
              <w:left w:w="80" w:type="dxa"/>
              <w:bottom w:w="60" w:type="dxa"/>
              <w:right w:w="80" w:type="dxa"/>
            </w:tcMar>
          </w:tcPr>
          <w:p w14:paraId="357C5974" w14:textId="77777777" w:rsidR="00B3345D" w:rsidRDefault="00000000">
            <w:pPr>
              <w:pStyle w:val="ExhibitTableBody"/>
            </w:pPr>
            <w:r>
              <w:t>68,000</w:t>
            </w:r>
          </w:p>
        </w:tc>
      </w:tr>
      <w:tr w:rsidR="00B3345D" w14:paraId="0EA03EE2" w14:textId="77777777">
        <w:tc>
          <w:tcPr>
            <w:tcW w:w="3816" w:type="dxa"/>
            <w:tcMar>
              <w:top w:w="60" w:type="dxa"/>
              <w:left w:w="80" w:type="dxa"/>
              <w:bottom w:w="60" w:type="dxa"/>
              <w:right w:w="80" w:type="dxa"/>
            </w:tcMar>
          </w:tcPr>
          <w:p w14:paraId="24582997" w14:textId="77777777" w:rsidR="00B3345D" w:rsidRDefault="00000000">
            <w:pPr>
              <w:pStyle w:val="ExhibitTableBody"/>
            </w:pPr>
            <w:r>
              <w:t>Share treated at peak</w:t>
            </w:r>
          </w:p>
        </w:tc>
        <w:tc>
          <w:tcPr>
            <w:tcW w:w="2520" w:type="dxa"/>
            <w:tcMar>
              <w:top w:w="60" w:type="dxa"/>
              <w:left w:w="80" w:type="dxa"/>
              <w:bottom w:w="60" w:type="dxa"/>
              <w:right w:w="80" w:type="dxa"/>
            </w:tcMar>
          </w:tcPr>
          <w:p w14:paraId="65405C19" w14:textId="77777777" w:rsidR="00B3345D" w:rsidRDefault="00000000">
            <w:pPr>
              <w:pStyle w:val="ExhibitTableBody"/>
            </w:pPr>
            <w:r>
              <w:t>12%</w:t>
            </w:r>
          </w:p>
        </w:tc>
        <w:tc>
          <w:tcPr>
            <w:tcW w:w="2520" w:type="dxa"/>
            <w:tcMar>
              <w:top w:w="60" w:type="dxa"/>
              <w:left w:w="80" w:type="dxa"/>
              <w:bottom w:w="60" w:type="dxa"/>
              <w:right w:w="80" w:type="dxa"/>
            </w:tcMar>
          </w:tcPr>
          <w:p w14:paraId="711A078A" w14:textId="77777777" w:rsidR="00B3345D" w:rsidRDefault="00000000">
            <w:pPr>
              <w:pStyle w:val="ExhibitTableBody"/>
            </w:pPr>
            <w:r>
              <w:t>28%</w:t>
            </w:r>
          </w:p>
        </w:tc>
      </w:tr>
      <w:tr w:rsidR="00B3345D" w14:paraId="5BBF497E" w14:textId="77777777">
        <w:tc>
          <w:tcPr>
            <w:tcW w:w="3816" w:type="dxa"/>
            <w:tcMar>
              <w:top w:w="60" w:type="dxa"/>
              <w:left w:w="80" w:type="dxa"/>
              <w:bottom w:w="60" w:type="dxa"/>
              <w:right w:w="80" w:type="dxa"/>
            </w:tcMar>
          </w:tcPr>
          <w:p w14:paraId="3499206B" w14:textId="77777777" w:rsidR="00B3345D" w:rsidRDefault="00000000">
            <w:pPr>
              <w:pStyle w:val="ExhibitTableBody"/>
            </w:pPr>
            <w:r>
              <w:t>Annual net revenue per patient</w:t>
            </w:r>
          </w:p>
        </w:tc>
        <w:tc>
          <w:tcPr>
            <w:tcW w:w="2520" w:type="dxa"/>
            <w:tcMar>
              <w:top w:w="60" w:type="dxa"/>
              <w:left w:w="80" w:type="dxa"/>
              <w:bottom w:w="60" w:type="dxa"/>
              <w:right w:w="80" w:type="dxa"/>
            </w:tcMar>
          </w:tcPr>
          <w:p w14:paraId="717D8B2D" w14:textId="77777777" w:rsidR="00B3345D" w:rsidRDefault="00000000">
            <w:pPr>
              <w:pStyle w:val="ExhibitTableBody"/>
            </w:pPr>
            <w:r>
              <w:t>$72,000</w:t>
            </w:r>
          </w:p>
        </w:tc>
        <w:tc>
          <w:tcPr>
            <w:tcW w:w="2520" w:type="dxa"/>
            <w:tcMar>
              <w:top w:w="60" w:type="dxa"/>
              <w:left w:w="80" w:type="dxa"/>
              <w:bottom w:w="60" w:type="dxa"/>
              <w:right w:w="80" w:type="dxa"/>
            </w:tcMar>
          </w:tcPr>
          <w:p w14:paraId="7851232C" w14:textId="77777777" w:rsidR="00B3345D" w:rsidRDefault="00000000">
            <w:pPr>
              <w:pStyle w:val="ExhibitTableBody"/>
            </w:pPr>
            <w:r>
              <w:t>$94,000</w:t>
            </w:r>
          </w:p>
        </w:tc>
      </w:tr>
      <w:tr w:rsidR="00B3345D" w14:paraId="09ECA50C" w14:textId="77777777">
        <w:tc>
          <w:tcPr>
            <w:tcW w:w="3816" w:type="dxa"/>
            <w:tcMar>
              <w:top w:w="60" w:type="dxa"/>
              <w:left w:w="80" w:type="dxa"/>
              <w:bottom w:w="60" w:type="dxa"/>
              <w:right w:w="80" w:type="dxa"/>
            </w:tcMar>
          </w:tcPr>
          <w:p w14:paraId="54734003" w14:textId="77777777" w:rsidR="00B3345D" w:rsidRDefault="00000000">
            <w:pPr>
              <w:pStyle w:val="ExhibitTableBody"/>
            </w:pPr>
            <w:r>
              <w:t>Annual discontinuation after launch</w:t>
            </w:r>
          </w:p>
        </w:tc>
        <w:tc>
          <w:tcPr>
            <w:tcW w:w="2520" w:type="dxa"/>
            <w:tcMar>
              <w:top w:w="60" w:type="dxa"/>
              <w:left w:w="80" w:type="dxa"/>
              <w:bottom w:w="60" w:type="dxa"/>
              <w:right w:w="80" w:type="dxa"/>
            </w:tcMar>
          </w:tcPr>
          <w:p w14:paraId="646B99BD" w14:textId="77777777" w:rsidR="00B3345D" w:rsidRDefault="00000000">
            <w:pPr>
              <w:pStyle w:val="ExhibitTableBody"/>
            </w:pPr>
            <w:r>
              <w:t>29%</w:t>
            </w:r>
          </w:p>
        </w:tc>
        <w:tc>
          <w:tcPr>
            <w:tcW w:w="2520" w:type="dxa"/>
            <w:tcMar>
              <w:top w:w="60" w:type="dxa"/>
              <w:left w:w="80" w:type="dxa"/>
              <w:bottom w:w="60" w:type="dxa"/>
              <w:right w:w="80" w:type="dxa"/>
            </w:tcMar>
          </w:tcPr>
          <w:p w14:paraId="0EF5E205" w14:textId="77777777" w:rsidR="00B3345D" w:rsidRDefault="00000000">
            <w:pPr>
              <w:pStyle w:val="ExhibitTableBody"/>
            </w:pPr>
            <w:r>
              <w:t>14%</w:t>
            </w:r>
          </w:p>
        </w:tc>
      </w:tr>
      <w:tr w:rsidR="00B3345D" w14:paraId="735785E6" w14:textId="77777777">
        <w:tc>
          <w:tcPr>
            <w:tcW w:w="3816" w:type="dxa"/>
            <w:tcMar>
              <w:top w:w="60" w:type="dxa"/>
              <w:left w:w="80" w:type="dxa"/>
              <w:bottom w:w="60" w:type="dxa"/>
              <w:right w:w="80" w:type="dxa"/>
            </w:tcMar>
          </w:tcPr>
          <w:p w14:paraId="56847EEC" w14:textId="77777777" w:rsidR="00B3345D" w:rsidRDefault="00000000">
            <w:pPr>
              <w:pStyle w:val="ExhibitTableBody"/>
            </w:pPr>
            <w:r>
              <w:t>Time from pivotal start to approval</w:t>
            </w:r>
          </w:p>
        </w:tc>
        <w:tc>
          <w:tcPr>
            <w:tcW w:w="2520" w:type="dxa"/>
            <w:tcMar>
              <w:top w:w="60" w:type="dxa"/>
              <w:left w:w="80" w:type="dxa"/>
              <w:bottom w:w="60" w:type="dxa"/>
              <w:right w:w="80" w:type="dxa"/>
            </w:tcMar>
          </w:tcPr>
          <w:p w14:paraId="3405FB1A" w14:textId="77777777" w:rsidR="00B3345D" w:rsidRDefault="00000000">
            <w:pPr>
              <w:pStyle w:val="ExhibitTableBody"/>
            </w:pPr>
            <w:r>
              <w:t>5.0 years</w:t>
            </w:r>
          </w:p>
        </w:tc>
        <w:tc>
          <w:tcPr>
            <w:tcW w:w="2520" w:type="dxa"/>
            <w:tcMar>
              <w:top w:w="60" w:type="dxa"/>
              <w:left w:w="80" w:type="dxa"/>
              <w:bottom w:w="60" w:type="dxa"/>
              <w:right w:w="80" w:type="dxa"/>
            </w:tcMar>
          </w:tcPr>
          <w:p w14:paraId="647EE657" w14:textId="77777777" w:rsidR="00B3345D" w:rsidRDefault="00000000">
            <w:pPr>
              <w:pStyle w:val="ExhibitTableBody"/>
            </w:pPr>
            <w:r>
              <w:t>3.6 years</w:t>
            </w:r>
          </w:p>
        </w:tc>
      </w:tr>
      <w:tr w:rsidR="00B3345D" w14:paraId="106BC058" w14:textId="77777777">
        <w:tc>
          <w:tcPr>
            <w:tcW w:w="3816" w:type="dxa"/>
            <w:tcMar>
              <w:top w:w="60" w:type="dxa"/>
              <w:left w:w="80" w:type="dxa"/>
              <w:bottom w:w="60" w:type="dxa"/>
              <w:right w:w="80" w:type="dxa"/>
            </w:tcMar>
          </w:tcPr>
          <w:p w14:paraId="7FB8B0C7" w14:textId="77777777" w:rsidR="00B3345D" w:rsidRDefault="00000000">
            <w:pPr>
              <w:pStyle w:val="ExhibitTableBody"/>
            </w:pPr>
            <w:r>
              <w:lastRenderedPageBreak/>
              <w:t>Peak annual sales estimate</w:t>
            </w:r>
          </w:p>
        </w:tc>
        <w:tc>
          <w:tcPr>
            <w:tcW w:w="2520" w:type="dxa"/>
            <w:tcMar>
              <w:top w:w="60" w:type="dxa"/>
              <w:left w:w="80" w:type="dxa"/>
              <w:bottom w:w="60" w:type="dxa"/>
              <w:right w:w="80" w:type="dxa"/>
            </w:tcMar>
          </w:tcPr>
          <w:p w14:paraId="6B62B59B" w14:textId="77777777" w:rsidR="00B3345D" w:rsidRDefault="00000000">
            <w:pPr>
              <w:pStyle w:val="ExhibitTableBody"/>
            </w:pPr>
            <w:r>
              <w:t>$420 million</w:t>
            </w:r>
          </w:p>
        </w:tc>
        <w:tc>
          <w:tcPr>
            <w:tcW w:w="2520" w:type="dxa"/>
            <w:tcMar>
              <w:top w:w="60" w:type="dxa"/>
              <w:left w:w="80" w:type="dxa"/>
              <w:bottom w:w="60" w:type="dxa"/>
              <w:right w:w="80" w:type="dxa"/>
            </w:tcMar>
          </w:tcPr>
          <w:p w14:paraId="44DDEA21" w14:textId="77777777" w:rsidR="00B3345D" w:rsidRDefault="00000000">
            <w:pPr>
              <w:pStyle w:val="ExhibitTableBody"/>
            </w:pPr>
            <w:r>
              <w:t>$1.8 billion</w:t>
            </w:r>
          </w:p>
        </w:tc>
      </w:tr>
    </w:tbl>
    <w:p w14:paraId="10BEA6F8" w14:textId="77777777" w:rsidR="00B3345D" w:rsidRDefault="00000000">
      <w:pPr>
        <w:pStyle w:val="Heading1"/>
      </w:pPr>
      <w:r>
        <w:t>The Thursday Board Meeting</w:t>
      </w:r>
    </w:p>
    <w:p w14:paraId="7D183801" w14:textId="77777777" w:rsidR="00B3345D" w:rsidRDefault="00000000">
      <w:r>
        <w:t>The board packet was due Thursday. Chen had to recommend a development path, a patient population, a dose, a site strategy, and a financing posture. She also had to define what evidence would cause Asterion to stop, continue, narrow, or accelerate the program at future reviews. Several directors wanted a clear answer. Chen believed the evidence supported several defensible answers, each of which exposed the company to a different form of failure.</w:t>
      </w:r>
    </w:p>
    <w:p w14:paraId="25297C3F" w14:textId="77777777" w:rsidR="00B3345D" w:rsidRDefault="00000000">
      <w:r>
        <w:t>Completing the current trial would buy information but consume time. Starting Phase III would buy speed but commit capital. Narrowing the population might improve the observed treatment effect while reducing access and market size. Opening more sites might improve enrollment while increasing inconsistency. A partnership might protect the balance sheet while surrendering much of the upside. By Wednesday evening, Chen still had not decided which uncertainty Asterion could most afford to live with.</w:t>
      </w:r>
    </w:p>
    <w:p w14:paraId="036729DA" w14:textId="77777777" w:rsidR="00B5237D" w:rsidRDefault="00B5237D" w:rsidP="00B5237D">
      <w:pPr>
        <w:pStyle w:val="Heading1"/>
      </w:pPr>
      <w:r>
        <w:t>Framing questions</w:t>
      </w:r>
    </w:p>
    <w:p w14:paraId="27BD4758" w14:textId="77777777" w:rsidR="00B5237D" w:rsidRDefault="00B5237D" w:rsidP="00B5237D">
      <w:pPr>
        <w:pStyle w:val="ListParagraph"/>
        <w:numPr>
          <w:ilvl w:val="0"/>
          <w:numId w:val="10"/>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2366D451" w14:textId="77777777" w:rsidR="00B5237D" w:rsidRDefault="00B5237D" w:rsidP="00B5237D">
      <w:pPr>
        <w:pStyle w:val="ListParagraph"/>
        <w:numPr>
          <w:ilvl w:val="0"/>
          <w:numId w:val="10"/>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3AEBFDB5" w14:textId="77777777" w:rsidR="00B5237D" w:rsidRDefault="00B5237D" w:rsidP="00B5237D">
      <w:pPr>
        <w:pStyle w:val="ListParagraph"/>
        <w:numPr>
          <w:ilvl w:val="0"/>
          <w:numId w:val="10"/>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0A70D586" w14:textId="77777777" w:rsidR="00B5237D" w:rsidRDefault="00B5237D" w:rsidP="00B5237D">
      <w:pPr>
        <w:pStyle w:val="ListParagraph"/>
        <w:numPr>
          <w:ilvl w:val="0"/>
          <w:numId w:val="10"/>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25BC197F" w14:textId="77777777" w:rsidR="00B5237D" w:rsidRDefault="00B5237D" w:rsidP="00B5237D">
      <w:pPr>
        <w:pStyle w:val="ListParagraph"/>
        <w:numPr>
          <w:ilvl w:val="0"/>
          <w:numId w:val="10"/>
        </w:numPr>
      </w:pPr>
      <w:r>
        <w:t>Repeat the exercise in (3), but this time using uncertainties instead of decisions.</w:t>
      </w:r>
    </w:p>
    <w:p w14:paraId="3C2AF03C" w14:textId="77777777" w:rsidR="00B5237D" w:rsidRDefault="00B5237D" w:rsidP="00B5237D">
      <w:pPr>
        <w:pStyle w:val="ListParagraph"/>
        <w:numPr>
          <w:ilvl w:val="1"/>
          <w:numId w:val="10"/>
        </w:numPr>
      </w:pPr>
      <w:r>
        <w:t>Which sources of uncertainty would be captured using average performance over time?</w:t>
      </w:r>
    </w:p>
    <w:p w14:paraId="564EF221" w14:textId="77777777" w:rsidR="00B5237D" w:rsidRDefault="00B5237D" w:rsidP="00B5237D">
      <w:pPr>
        <w:pStyle w:val="ListParagraph"/>
        <w:numPr>
          <w:ilvl w:val="1"/>
          <w:numId w:val="10"/>
        </w:numPr>
      </w:pPr>
      <w:r>
        <w:t>Which sources of uncertainty represent forms of risk that are not properly captured using averages?</w:t>
      </w:r>
    </w:p>
    <w:p w14:paraId="2DABCF01" w14:textId="77777777" w:rsidR="00B5237D" w:rsidRDefault="00B5237D" w:rsidP="00B5237D">
      <w:pPr>
        <w:pStyle w:val="ListParagraph"/>
        <w:numPr>
          <w:ilvl w:val="0"/>
          <w:numId w:val="10"/>
        </w:numPr>
      </w:pPr>
      <w:r>
        <w:t xml:space="preserve">Choose the single decision that seems to have the highest impact on the most important metric.  </w:t>
      </w:r>
    </w:p>
    <w:p w14:paraId="33312C3C" w14:textId="77777777" w:rsidR="00B5237D" w:rsidRDefault="00B5237D" w:rsidP="00B5237D">
      <w:pPr>
        <w:pStyle w:val="ListParagraph"/>
        <w:numPr>
          <w:ilvl w:val="1"/>
          <w:numId w:val="10"/>
        </w:numPr>
      </w:pPr>
      <w:r>
        <w:t>What approach do you think you would use to make this decision?</w:t>
      </w:r>
    </w:p>
    <w:p w14:paraId="007ACF98" w14:textId="77777777" w:rsidR="00B5237D" w:rsidRDefault="00B5237D" w:rsidP="00B5237D">
      <w:pPr>
        <w:pStyle w:val="ListParagraph"/>
        <w:numPr>
          <w:ilvl w:val="1"/>
          <w:numId w:val="10"/>
        </w:numPr>
      </w:pPr>
      <w:r>
        <w:t>What data appears to be necessary to make this decision, including the calculation of any performance metrics where the decision would have a high or medium impact.</w:t>
      </w:r>
    </w:p>
    <w:p w14:paraId="027AACE0" w14:textId="77777777" w:rsidR="00B5237D" w:rsidRDefault="00B5237D" w:rsidP="00B5237D">
      <w:pPr>
        <w:pStyle w:val="ListParagraph"/>
        <w:numPr>
          <w:ilvl w:val="0"/>
          <w:numId w:val="10"/>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4390365B" w14:textId="77777777" w:rsidR="00B3345D" w:rsidRDefault="00000000">
      <w:pPr>
        <w:pStyle w:val="Heading1"/>
      </w:pPr>
      <w:r>
        <w:t>Discussion Questions</w:t>
      </w:r>
    </w:p>
    <w:p w14:paraId="0E82271D" w14:textId="242F9ED7" w:rsidR="00B3345D" w:rsidRPr="00B5237D" w:rsidRDefault="00000000" w:rsidP="00B5237D">
      <w:pPr>
        <w:pStyle w:val="DiscussionQuestion"/>
        <w:numPr>
          <w:ilvl w:val="0"/>
          <w:numId w:val="12"/>
        </w:numPr>
        <w:rPr>
          <w:sz w:val="22"/>
        </w:rPr>
      </w:pPr>
      <w:r w:rsidRPr="00B5237D">
        <w:rPr>
          <w:sz w:val="22"/>
        </w:rPr>
        <w:t>What should Chen recommend at the Thursday board meeting?</w:t>
      </w:r>
    </w:p>
    <w:p w14:paraId="32234626" w14:textId="1E0C12DD" w:rsidR="00B3345D" w:rsidRPr="00B5237D" w:rsidRDefault="00000000" w:rsidP="00B5237D">
      <w:pPr>
        <w:pStyle w:val="DiscussionQuestion"/>
        <w:numPr>
          <w:ilvl w:val="0"/>
          <w:numId w:val="12"/>
        </w:numPr>
        <w:rPr>
          <w:sz w:val="22"/>
        </w:rPr>
      </w:pPr>
      <w:r w:rsidRPr="00B5237D">
        <w:rPr>
          <w:sz w:val="22"/>
        </w:rPr>
        <w:t>How should Asterion interpret the stronger low-dose result and the uneven high-dose response?</w:t>
      </w:r>
    </w:p>
    <w:p w14:paraId="0E46E5A4" w14:textId="503C6427" w:rsidR="00B3345D" w:rsidRPr="00B5237D" w:rsidRDefault="00000000" w:rsidP="00B5237D">
      <w:pPr>
        <w:pStyle w:val="DiscussionQuestion"/>
        <w:numPr>
          <w:ilvl w:val="0"/>
          <w:numId w:val="12"/>
        </w:numPr>
        <w:rPr>
          <w:sz w:val="22"/>
        </w:rPr>
      </w:pPr>
      <w:r w:rsidRPr="00B5237D">
        <w:rPr>
          <w:sz w:val="22"/>
        </w:rPr>
        <w:t>Should the next study use a broad population or focus on recently diagnosed patients?</w:t>
      </w:r>
    </w:p>
    <w:p w14:paraId="50E48324" w14:textId="37DB0B07" w:rsidR="00B3345D" w:rsidRPr="00B5237D" w:rsidRDefault="00000000" w:rsidP="00B5237D">
      <w:pPr>
        <w:pStyle w:val="DiscussionQuestion"/>
        <w:numPr>
          <w:ilvl w:val="0"/>
          <w:numId w:val="12"/>
        </w:numPr>
        <w:rPr>
          <w:sz w:val="22"/>
        </w:rPr>
      </w:pPr>
      <w:r w:rsidRPr="00B5237D">
        <w:rPr>
          <w:sz w:val="22"/>
        </w:rPr>
        <w:t>How should the company balance enrollment speed against site quality and data consistency?</w:t>
      </w:r>
    </w:p>
    <w:p w14:paraId="6987EF9E" w14:textId="6942E3BB" w:rsidR="00B3345D" w:rsidRPr="00B5237D" w:rsidRDefault="00000000" w:rsidP="00B5237D">
      <w:pPr>
        <w:pStyle w:val="DiscussionQuestion"/>
        <w:numPr>
          <w:ilvl w:val="0"/>
          <w:numId w:val="12"/>
        </w:numPr>
        <w:rPr>
          <w:sz w:val="22"/>
        </w:rPr>
      </w:pPr>
      <w:r w:rsidRPr="00B5237D">
        <w:rPr>
          <w:sz w:val="22"/>
        </w:rPr>
        <w:t>Which proposed recruitment investments are most likely to produce useful information rather than merely more activity?</w:t>
      </w:r>
    </w:p>
    <w:p w14:paraId="1F005DB0" w14:textId="4627751E" w:rsidR="00B3345D" w:rsidRPr="00B5237D" w:rsidRDefault="00000000" w:rsidP="00B5237D">
      <w:pPr>
        <w:pStyle w:val="DiscussionQuestion"/>
        <w:numPr>
          <w:ilvl w:val="0"/>
          <w:numId w:val="12"/>
        </w:numPr>
        <w:rPr>
          <w:sz w:val="22"/>
        </w:rPr>
      </w:pPr>
      <w:r w:rsidRPr="00B5237D">
        <w:rPr>
          <w:sz w:val="22"/>
        </w:rPr>
        <w:t>What evidence should trigger continuation, expansion, redesign, partnership, or termination?</w:t>
      </w:r>
    </w:p>
    <w:p w14:paraId="6C16E1E1" w14:textId="72C4E739" w:rsidR="00B3345D" w:rsidRPr="00B5237D" w:rsidRDefault="00000000" w:rsidP="00B5237D">
      <w:pPr>
        <w:pStyle w:val="DiscussionQuestion"/>
        <w:numPr>
          <w:ilvl w:val="0"/>
          <w:numId w:val="12"/>
        </w:numPr>
        <w:rPr>
          <w:sz w:val="22"/>
        </w:rPr>
      </w:pPr>
      <w:r w:rsidRPr="00B5237D">
        <w:rPr>
          <w:sz w:val="22"/>
        </w:rPr>
        <w:t>How should safety signals be incorporated when the independent committee has not recommended stopping?</w:t>
      </w:r>
    </w:p>
    <w:p w14:paraId="44E476BD" w14:textId="06E7620F" w:rsidR="00B3345D" w:rsidRPr="00B5237D" w:rsidRDefault="00000000" w:rsidP="00B5237D">
      <w:pPr>
        <w:pStyle w:val="DiscussionQuestion"/>
        <w:numPr>
          <w:ilvl w:val="0"/>
          <w:numId w:val="12"/>
        </w:numPr>
        <w:rPr>
          <w:sz w:val="22"/>
        </w:rPr>
      </w:pPr>
      <w:r w:rsidRPr="00B5237D">
        <w:rPr>
          <w:sz w:val="22"/>
        </w:rPr>
        <w:lastRenderedPageBreak/>
        <w:t>How much should commercial forecasts influence the design and continuation of the clinical program?</w:t>
      </w:r>
    </w:p>
    <w:p w14:paraId="0BAC1032" w14:textId="75A97FBC" w:rsidR="00B3345D" w:rsidRPr="00B5237D" w:rsidRDefault="00000000" w:rsidP="00B5237D">
      <w:pPr>
        <w:pStyle w:val="DiscussionQuestion"/>
        <w:numPr>
          <w:ilvl w:val="0"/>
          <w:numId w:val="12"/>
        </w:numPr>
        <w:rPr>
          <w:sz w:val="22"/>
        </w:rPr>
      </w:pPr>
      <w:r w:rsidRPr="00B5237D">
        <w:rPr>
          <w:sz w:val="22"/>
        </w:rPr>
        <w:t>What information would have the greatest value before Asterion commits to a pivotal trial?</w:t>
      </w:r>
    </w:p>
    <w:p w14:paraId="62F61857" w14:textId="02964889" w:rsidR="00B3345D" w:rsidRPr="00B5237D" w:rsidRDefault="00000000" w:rsidP="00B5237D">
      <w:pPr>
        <w:pStyle w:val="DiscussionQuestion"/>
        <w:numPr>
          <w:ilvl w:val="0"/>
          <w:numId w:val="12"/>
        </w:numPr>
        <w:rPr>
          <w:sz w:val="22"/>
        </w:rPr>
      </w:pPr>
      <w:r w:rsidRPr="00B5237D">
        <w:rPr>
          <w:sz w:val="22"/>
        </w:rPr>
        <w:t>How should management communicate an ambiguous decision to patients, investigators, employees, and investors?</w:t>
      </w:r>
    </w:p>
    <w:p w14:paraId="1610BB11" w14:textId="77777777" w:rsidR="00B3345D" w:rsidRDefault="00000000">
      <w:pPr>
        <w:pStyle w:val="Heading2"/>
      </w:pPr>
      <w:r>
        <w:t>Source Note</w:t>
      </w:r>
    </w:p>
    <w:p w14:paraId="1AE53F83" w14:textId="77777777" w:rsidR="00B3345D" w:rsidRDefault="00000000">
      <w:pPr>
        <w:pStyle w:val="SourceNoteText"/>
      </w:pPr>
      <w:r>
        <w:t>Public context: ClinicalTrials.gov reported 595,847 registered studies as of July 2026. The U.S. Food and Drug Administration describes Phase III studies as commonly enrolling 300 to 3,000 participants and lasting one to four years. A published analysis of randomized surgical trials found a median completion delay of 12.2 months among delayed completed trials, while multiple studies identify inadequate recruitment as a leading reason trials are discontinued or fail to answer their primary question. Conceptual foundation: Warren B. Powell, Bridging Decision Problems, Volume I, Chapter 2, section “Running clinical trials for drug testing.” Sources accessed July 30, 2026: ClinicalTrials.gov, Trends and Charts on Registered Studies; U.S. Food and Drug Administration, Step 3: Clinical Research; Shadbolt et al., JAMA Network Open (2023); Briel et al., Journal of Clinical Epidemiology (2017).</w:t>
      </w:r>
    </w:p>
    <w:p w14:paraId="177BC04A" w14:textId="60E5BF0D" w:rsidR="00B5237D" w:rsidRDefault="00B5237D" w:rsidP="00B5237D">
      <w:pPr>
        <w:pStyle w:val="Heading1"/>
      </w:pPr>
      <w:r>
        <w:t>ChatGPT summary</w:t>
      </w:r>
    </w:p>
    <w:p w14:paraId="59130C3D" w14:textId="0ED21EBA" w:rsidR="00B5237D" w:rsidRDefault="00B5237D" w:rsidP="00B5237D">
      <w:pPr>
        <w:pStyle w:val="Heading2"/>
      </w:pPr>
      <w:r>
        <w:t>Prompt</w:t>
      </w:r>
    </w:p>
    <w:p w14:paraId="5C602E90" w14:textId="77777777" w:rsidR="00B5237D" w:rsidRPr="00B5237D" w:rsidRDefault="00B5237D" w:rsidP="00B5237D">
      <w:r w:rsidRPr="00B5237D">
        <w:t xml:space="preserve">Write a </w:t>
      </w:r>
      <w:proofErr w:type="gramStart"/>
      <w:r w:rsidRPr="00B5237D">
        <w:t>4-6 page</w:t>
      </w:r>
      <w:proofErr w:type="gramEnd"/>
      <w:r w:rsidRPr="00B5237D">
        <w:t xml:space="preserve"> case study based on the material in the section at https://warrenpowell.org/bridging-vol1/chapter-2/#clinicaltrials. Create a context based on the metrics, decisions and uncertainties in the section, but without explicitly calling attention to them. motivate your case problem with data.</w:t>
      </w:r>
    </w:p>
    <w:p w14:paraId="25897E57" w14:textId="77777777" w:rsidR="00B5237D" w:rsidRPr="00B5237D" w:rsidRDefault="00B5237D" w:rsidP="00B5237D"/>
    <w:sectPr w:rsidR="00B5237D" w:rsidRPr="00B5237D"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25FF" w14:textId="77777777" w:rsidR="000E173D" w:rsidRDefault="000E173D">
      <w:pPr>
        <w:spacing w:after="0" w:line="240" w:lineRule="auto"/>
      </w:pPr>
      <w:r>
        <w:separator/>
      </w:r>
    </w:p>
  </w:endnote>
  <w:endnote w:type="continuationSeparator" w:id="0">
    <w:p w14:paraId="2344313C" w14:textId="77777777" w:rsidR="000E173D" w:rsidRDefault="000E1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FEA5" w14:textId="77777777" w:rsidR="00B3345D" w:rsidRDefault="00000000">
    <w:pPr>
      <w:pStyle w:val="CaseFooter"/>
      <w:spacing w:after="0"/>
      <w:jc w:val="center"/>
    </w:pPr>
    <w:r>
      <w:fldChar w:fldCharType="begin"/>
    </w:r>
    <w:r>
      <w:instrText>PAGE</w:instrText>
    </w:r>
    <w:r>
      <w:fldChar w:fldCharType="separate"/>
    </w:r>
    <w:r w:rsidR="00B5237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07404" w14:textId="77777777" w:rsidR="000E173D" w:rsidRDefault="000E173D">
      <w:pPr>
        <w:spacing w:after="0" w:line="240" w:lineRule="auto"/>
      </w:pPr>
      <w:r>
        <w:separator/>
      </w:r>
    </w:p>
  </w:footnote>
  <w:footnote w:type="continuationSeparator" w:id="0">
    <w:p w14:paraId="3EC8FFA5" w14:textId="77777777" w:rsidR="000E173D" w:rsidRDefault="000E1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EB42" w14:textId="77777777" w:rsidR="00B3345D" w:rsidRDefault="00000000">
    <w:pPr>
      <w:pStyle w:val="CaseHeader"/>
      <w:spacing w:after="0"/>
      <w:jc w:val="right"/>
    </w:pPr>
    <w:r>
      <w:t>ASTERION THERAPEUTICS — CLINICAL DEVELOPMENT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7C85623"/>
    <w:multiLevelType w:val="hybridMultilevel"/>
    <w:tmpl w:val="03983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510688"/>
    <w:multiLevelType w:val="hybridMultilevel"/>
    <w:tmpl w:val="7C147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7283513">
    <w:abstractNumId w:val="8"/>
  </w:num>
  <w:num w:numId="2" w16cid:durableId="1397241698">
    <w:abstractNumId w:val="6"/>
  </w:num>
  <w:num w:numId="3" w16cid:durableId="2129927709">
    <w:abstractNumId w:val="5"/>
  </w:num>
  <w:num w:numId="4" w16cid:durableId="698970741">
    <w:abstractNumId w:val="4"/>
  </w:num>
  <w:num w:numId="5" w16cid:durableId="752505536">
    <w:abstractNumId w:val="7"/>
  </w:num>
  <w:num w:numId="6" w16cid:durableId="1578443381">
    <w:abstractNumId w:val="3"/>
  </w:num>
  <w:num w:numId="7" w16cid:durableId="802163273">
    <w:abstractNumId w:val="2"/>
  </w:num>
  <w:num w:numId="8" w16cid:durableId="1659306829">
    <w:abstractNumId w:val="1"/>
  </w:num>
  <w:num w:numId="9" w16cid:durableId="2122257512">
    <w:abstractNumId w:val="0"/>
  </w:num>
  <w:num w:numId="10" w16cid:durableId="1268582022">
    <w:abstractNumId w:val="10"/>
  </w:num>
  <w:num w:numId="11" w16cid:durableId="1020935751">
    <w:abstractNumId w:val="11"/>
  </w:num>
  <w:num w:numId="12" w16cid:durableId="1840388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173D"/>
    <w:rsid w:val="0015074B"/>
    <w:rsid w:val="0029639D"/>
    <w:rsid w:val="00326F90"/>
    <w:rsid w:val="008852B7"/>
    <w:rsid w:val="00AA1D8D"/>
    <w:rsid w:val="00B3345D"/>
    <w:rsid w:val="00B47730"/>
    <w:rsid w:val="00B5237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1ECCBB"/>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693F"/>
    <w:pPr>
      <w:spacing w:after="80" w:line="247"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Pr>
      <w:rFonts w:ascii="Aptos Display" w:eastAsia="Aptos Display" w:hAnsi="Aptos Display"/>
      <w:b/>
      <w:color w:val="284B63"/>
      <w:sz w:val="48"/>
    </w:rPr>
  </w:style>
  <w:style w:type="paragraph" w:customStyle="1" w:styleId="CaseSubtitle">
    <w:name w:val="Case Subtitle"/>
    <w:basedOn w:val="Normal"/>
    <w:rPr>
      <w:rFonts w:ascii="Aptos Display" w:eastAsia="Aptos Display" w:hAnsi="Aptos Display"/>
      <w:b/>
      <w:color w:val="3C6E71"/>
      <w:sz w:val="36"/>
    </w:rPr>
  </w:style>
  <w:style w:type="paragraph" w:customStyle="1" w:styleId="CaseDeck">
    <w:name w:val="Case Deck"/>
    <w:basedOn w:val="Normal"/>
    <w:rPr>
      <w:i/>
      <w:sz w:val="21"/>
    </w:rPr>
  </w:style>
  <w:style w:type="paragraph" w:customStyle="1" w:styleId="CaseDisclaimer">
    <w:name w:val="Case Disclaimer"/>
    <w:basedOn w:val="Normal"/>
    <w:rPr>
      <w:color w:val="646464"/>
      <w:sz w:val="16"/>
    </w:rPr>
  </w:style>
  <w:style w:type="paragraph" w:customStyle="1" w:styleId="DiscussionQuestion">
    <w:name w:val="Discussion Question"/>
    <w:basedOn w:val="Normal"/>
    <w:rPr>
      <w:sz w:val="18"/>
    </w:rPr>
  </w:style>
  <w:style w:type="paragraph" w:customStyle="1" w:styleId="SourceNoteText">
    <w:name w:val="Source Note Text"/>
    <w:basedOn w:val="Normal"/>
    <w:rPr>
      <w:sz w:val="18"/>
    </w:rPr>
  </w:style>
  <w:style w:type="paragraph" w:customStyle="1" w:styleId="CaseCallout">
    <w:name w:val="Case Callout"/>
    <w:basedOn w:val="Normal"/>
  </w:style>
  <w:style w:type="paragraph" w:customStyle="1" w:styleId="ExhibitTableHeader">
    <w:name w:val="Exhibit Table Header"/>
    <w:basedOn w:val="Normal"/>
    <w:rPr>
      <w:b/>
      <w:color w:val="FFFFFF"/>
      <w:sz w:val="15"/>
    </w:rPr>
  </w:style>
  <w:style w:type="paragraph" w:customStyle="1" w:styleId="ExhibitTableBody">
    <w:name w:val="Exhibit Table Body"/>
    <w:basedOn w:val="Normal"/>
    <w:rPr>
      <w:sz w:val="15"/>
    </w:rPr>
  </w:style>
  <w:style w:type="paragraph" w:customStyle="1" w:styleId="CaseHeader">
    <w:name w:val="Case Header"/>
    <w:basedOn w:val="Normal"/>
    <w:rPr>
      <w:sz w:val="16"/>
    </w:rPr>
  </w:style>
  <w:style w:type="paragraph" w:customStyle="1" w:styleId="CaseFooter">
    <w:name w:val="Case Footer"/>
    <w:basedOn w:val="Normal"/>
    <w:rPr>
      <w:sz w:val="16"/>
    </w:rPr>
  </w:style>
  <w:style w:type="paragraph" w:customStyle="1" w:styleId="CaseSpacer">
    <w:name w:val="Case Spacer"/>
    <w:basedOn w:val="Normal"/>
    <w:rPr>
      <w:sz w:val="18"/>
    </w:rPr>
  </w:style>
  <w:style w:type="character" w:styleId="Hyperlink">
    <w:name w:val="Hyperlink"/>
    <w:basedOn w:val="DefaultParagraphFont"/>
    <w:uiPriority w:val="99"/>
    <w:unhideWhenUsed/>
    <w:rsid w:val="00B523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2116</Words>
  <Characters>12065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Cedar State Health Authority: The Last-Mile Naloxone Problem</dc:title>
  <dc:subject>Business case study on naloxone access and distribution</dc:subject>
  <dc:creator>OpenAI</dc:creator>
  <cp:keywords/>
  <dc:description>generated by python-docx</dc:description>
  <cp:lastModifiedBy>Warren Powell</cp:lastModifiedBy>
  <cp:revision>2</cp:revision>
  <dcterms:created xsi:type="dcterms:W3CDTF">2026-07-30T21:12:00Z</dcterms:created>
  <dcterms:modified xsi:type="dcterms:W3CDTF">2026-07-30T21:12:00Z</dcterms:modified>
  <cp:category/>
</cp:coreProperties>
</file>